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800"/>
      </w:pPr>
      <w:r>
        <w:t xml:space="preserve"/>
      </w:r>
    </w:p>
    <w:p>
      <w:pPr>
        <w:spacing w:after="100"/>
        <w:jc w:val="center"/>
      </w:pPr>
      <w:r>
        <w:rPr>
          <w:rFonts w:ascii="Arial" w:cs="Arial" w:eastAsia="Arial" w:hAnsi="Arial"/>
          <w:b/>
          <w:bCs/>
          <w:color w:val="1F4E78"/>
          <w:sz w:val="56"/>
          <w:szCs w:val="56"/>
        </w:rPr>
        <w:t xml:space="preserve">REPAIRING THE PAST</w:t>
      </w:r>
    </w:p>
    <w:p>
      <w:pPr>
        <w:spacing w:after="200"/>
        <w:jc w:val="center"/>
      </w:pPr>
      <w:r>
        <w:rPr>
          <w:rFonts w:ascii="Arial" w:cs="Arial" w:eastAsia="Arial" w:hAnsi="Arial"/>
          <w:i/>
          <w:iCs/>
          <w:color w:val="C00000"/>
          <w:sz w:val="26"/>
          <w:szCs w:val="26"/>
        </w:rPr>
        <w:t xml:space="preserve">Retroactive Debt Retirement Through Platform Maturity</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6"/>
          <w:szCs w:val="26"/>
        </w:rPr>
        <w:t xml:space="preserve">Phased relief for student loan and medical debt</w:t>
      </w:r>
    </w:p>
    <w:p>
      <w:pPr>
        <w:spacing w:after="1200"/>
        <w:jc w:val="center"/>
      </w:pPr>
      <w:r>
        <w:rPr>
          <w:rFonts w:ascii="Georgia" w:cs="Georgia" w:eastAsia="Georgia" w:hAnsi="Georgia"/>
          <w:i/>
          <w:iCs/>
          <w:color w:val="1A1A1A"/>
          <w:sz w:val="26"/>
          <w:szCs w:val="26"/>
        </w:rPr>
        <w:t xml:space="preserve">from surplus capacity in the platform's pillars.</w:t>
      </w:r>
    </w:p>
    <w:p>
      <w:pPr>
        <w:spacing w:before="1600"/>
      </w:pPr>
      <w:r>
        <w:t xml:space="preserve"/>
      </w:r>
    </w:p>
    <w:p>
      <w:pPr>
        <w:spacing w:after="80"/>
        <w:jc w:val="center"/>
      </w:pPr>
      <w:r>
        <w:rPr>
          <w:rFonts w:ascii="Georgia" w:cs="Georgia" w:eastAsia="Georgia" w:hAnsi="Georgia"/>
          <w:i/>
          <w:iCs/>
          <w:color w:val="595959"/>
          <w:sz w:val="22"/>
          <w:szCs w:val="22"/>
        </w:rPr>
        <w:t xml:space="preserve">A Retroactive Debt Retirement Analysis</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v1.0  ·  Created May 2026  ·  Updated May 3, 2026 · content last changed v3.8.482</w:t>
      </w:r>
    </w:p>
    <w:p>
      <w:pPr>
        <w:spacing w:before="480"/>
        <w:jc w:val="center"/>
      </w:pPr>
      <w:r>
        <w:t>SWEPT AND CURRENT (v3.8.362). This document was reviewed line by line at v3.8.349, every numerical claim in it checked against the registry and the models, and the corrections applied in place. Its figures are current as of v3.8.361. THE NOTICE THAT FOLLOWS IS KEPT AS HISTORY, not as a live warning: it was written before that review and is superseded by it. Where a claim could not be restated -- because the finding itself was overturned rather than the number -- the document says so at the point of use. Original notice: UNDER REVISION (v3.8.342). This document's fiscal capacity figures are superseded by about an order of magnitude and should not be relied on. It reads the Sovereign Fund's disbursement at 1.2 percent off a trajectory that the v3.8.333 to v3.8.340 corrections retired. On the models as rebuilt at v3.8.340 the fund held about $0.96 trillion at year 15, against the roughly $11 trillion implied here. [CORRECTED v3.8.349: THAT COMPARISON IS ITSELF SUPERSEDED. Since absorption (v3.8.343) the fund holds about $26.3 trillion at year 15 and $35.1 trillion at year 20, so a 1.2 percent draw is about $316 billion and $421 billion -- MORE than this document originally claimed, not less. The document's figures were wrong in both directions at different times; the body below now carries the current ones.] Three corrections account for it: contributions in money terms were grown at a real return, the workers the phase-out grandfathers never actually left the old system, and the fund now carries part of the Social Security wind-down from year 13. The premise also needs restating: the platform's fund covers about a fifth of its own commitments at maturity, so 'surplus capacity' is not established and depends on the accounting decision recorded as ASSUM-transition-debt-treatment. The human case here stands; the scenarios must be rebuilt on the corrected fund before any timeline in them is quoted. UPDATED v3.8.347: the platform has since adopted ABSORPTION, which it always intended -- the Social Security trust fund moves into the Sovereign Fund at year 1 and every payroll tax dollar of the wind-down goes to the fund, with benefits and repayments financed by borrowing. On that design the fund reaches about $137 trillion by year 60 and the platform REDUCES the federal deficit by about $2.72 trillion a year at its published 4 percent return, or $1.39 trillion counting interest on the transition debt, which stands at about $85 trillion. The gain is a spread between the fund's return and the government's borrowing cost and reverses below about 3 percent. Separately, the pillars' own build-out years are now costed for the first time: about $0.321 trillion [UPDATED v3.8.414: the first-year figure moved to $0.321 trillion when the pillar ledger adopted the Centers for Medicare and Medicaid Services (CMS) 2024 column at v3.8.409 -- more existing spending absorbed means a smaller first-year deficit] in year 1, peaking near $1.7 trillion in year 6, roughly $20 trillion over fifteen years, none of it inside the Social Security figure. See 05_Transition_Design_Options_And_Costs.docx and 05_Federal_Fiscal_Impact_Analysis.docx, which carry the current figures.</w:t>
      </w:r>
    </w:p>
    <w:p>
      <w:pPr>
        <w:jc w:val="center"/>
      </w:pPr>
      <w:r>
        <w:rPr>
          <w:rFonts w:ascii="Georgia" w:cs="Georgia" w:eastAsia="Georgia" w:hAnsi="Georgia"/>
          <w:color w:val="595959"/>
          <w:sz w:val="20"/>
          <w:szCs w:val="20"/>
        </w:rPr>
        <w:t xml:space="preserve">Ohio  ·  2026</w:t>
      </w:r>
    </w:p>
    <w:p>
      <w:r>
        <w:br w:type="page"/>
      </w:r>
    </w:p>
    <w:p>
      <w:pPr>
        <w:pStyle w:val="Heading1"/>
        <w:spacing w:after="240" w:before="480"/>
      </w:pPr>
      <w:r>
        <w:rPr>
          <w:rFonts w:ascii="Arial" w:cs="Arial" w:eastAsia="Arial" w:hAnsi="Arial"/>
          <w:b/>
          <w:bCs/>
          <w:color w:val="1F4E78"/>
          <w:sz w:val="36"/>
          <w:szCs w:val="36"/>
        </w:rPr>
        <w:t xml:space="preserve">The Question Behind the Analysis</w:t>
      </w:r>
    </w:p>
    <w:p>
      <w:pPr>
        <w:spacing w:after="240" w:line="340"/>
        <w:jc w:val="both"/>
      </w:pPr>
      <w:r>
        <w:rPr>
          <w:rFonts w:ascii="Georgia" w:cs="Georgia" w:eastAsia="Georgia" w:hAnsi="Georgia"/>
          <w:color w:val="1A1A1A"/>
          <w:sz w:val="24"/>
          <w:szCs w:val="24"/>
        </w:rPr>
        <w:t xml:space="preserve">The platform addresses problems going forward. But what about people who suffered under the system the platform replaces? Citizens carrying student loans they couldn't have afforded under the platform's education architecture. Citizens carrying medical debt they wouldn't have accumulated under the platform's healthcare architecture. Should the platform's mechanisms reach backward to repair the harms the previous system produced, or only forward to prevent new ones?</w:t>
      </w:r>
    </w:p>
    <w:p>
      <w:pPr>
        <w:spacing w:after="200" w:line="320"/>
        <w:jc w:val="both"/>
      </w:pPr>
      <w:r>
        <w:rPr>
          <w:rFonts w:ascii="Georgia" w:cs="Georgia" w:eastAsia="Georgia" w:hAnsi="Georgia"/>
          <w:color w:val="1A1A1A"/>
          <w:sz w:val="22"/>
          <w:szCs w:val="22"/>
        </w:rPr>
        <w:t xml:space="preserve">This document answers that question with a yes — the platform can retire existing student loan and medical debt retroactively, in phases, as the platform's pillars mature and produce surplus capacity. The mechanism does not require new contribution rates or new tax structures. It uses the surplus that the existing pillars naturally produce as they reach scale, redirected from accumulation to retroactive obligation.</w:t>
      </w:r>
    </w:p>
    <w:p>
      <w:pPr>
        <w:spacing w:after="200" w:line="320"/>
        <w:jc w:val="both"/>
      </w:pPr>
      <w:r>
        <w:rPr>
          <w:rFonts w:ascii="Georgia" w:cs="Georgia" w:eastAsia="Georgia" w:hAnsi="Georgia"/>
          <w:color w:val="1A1A1A"/>
          <w:sz w:val="22"/>
          <w:szCs w:val="22"/>
        </w:rPr>
        <w:t>The analysis depends on platform mathematical models already documented in earlier package materials. The Sovereign Fund's growth trajectory comes from the Combined Reform Model. The healthcare pillar's surplus comes from the universal healthcare Model. What this document adds is the application of those existing surplus capacities to a question the platform's earlier documents didn't directly address: how to repair what the previous system damaged.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“Universal infrastructure built for the future has the capacity to repair some of what the past damaged. The platform's surplus capacity is not just for forward investment. It can also be retroactive repair.”</w:t>
            </w:r>
          </w:p>
        </w:tc>
      </w:tr>
    </w:tbl>
    <w:p>
      <w:r>
        <w:br w:type="page"/>
      </w:r>
    </w:p>
    <w:p>
      <w:pPr>
        <w:pStyle w:val="Heading1"/>
        <w:spacing w:after="240" w:before="480"/>
      </w:pPr>
      <w:r>
        <w:rPr>
          <w:rFonts w:ascii="Arial" w:cs="Arial" w:eastAsia="Arial" w:hAnsi="Arial"/>
          <w:b/>
          <w:bCs/>
          <w:color w:val="1F4E78"/>
          <w:sz w:val="36"/>
          <w:szCs w:val="36"/>
        </w:rPr>
        <w:t xml:space="preserve">The Current Magnitude of the Two Debts</w:t>
      </w:r>
    </w:p>
    <w:p>
      <w:pPr>
        <w:spacing w:after="240" w:line="340"/>
        <w:jc w:val="both"/>
      </w:pPr>
      <w:r>
        <w:rPr>
          <w:rFonts w:ascii="Georgia" w:cs="Georgia" w:eastAsia="Georgia" w:hAnsi="Georgia"/>
          <w:color w:val="1A1A1A"/>
          <w:sz w:val="24"/>
          <w:szCs w:val="24"/>
        </w:rPr>
        <w:t xml:space="preserve">Understanding what's possible requires understanding what's owed. The two debts the platform's architecture can address — student loans and medical debt — differ by an order of magnitude in size and by orders of magnitude in their structural causes. The retroactive retirement strategies must reflect these differences.</w:t>
      </w:r>
    </w:p>
    <w:p>
      <w:pPr>
        <w:pStyle w:val="Heading2"/>
        <w:spacing w:after="160" w:before="360"/>
      </w:pPr>
      <w:r>
        <w:rPr>
          <w:rFonts w:ascii="Arial" w:cs="Arial" w:eastAsia="Arial" w:hAnsi="Arial"/>
          <w:b/>
          <w:bCs/>
          <w:color w:val="1F4E78"/>
          <w:sz w:val="28"/>
          <w:szCs w:val="28"/>
        </w:rPr>
        <w:t xml:space="preserve">Student Loan Debt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As of early 2026</w:t>
            </w:r>
          </w:p>
          <w:p>
            <w:pPr>
              <w:spacing w:after="100" w:line="280"/>
            </w:pPr>
            <w:r>
              <w:rPr>
                <w:rFonts w:ascii="Georgia" w:cs="Georgia" w:eastAsia="Georgia" w:hAnsi="Georgia"/>
                <w:color w:val="1A1A1A"/>
                <w:sz w:val="21"/>
                <w:szCs w:val="21"/>
              </w:rPr>
              <w:t xml:space="preserve">•  Federal student loan portfolio: approximately $1.65 trillion</w:t>
            </w:r>
          </w:p>
          <w:p>
            <w:pPr>
              <w:spacing w:after="100" w:line="280"/>
            </w:pPr>
            <w:r>
              <w:rPr>
                <w:rFonts w:ascii="Georgia" w:cs="Georgia" w:eastAsia="Georgia" w:hAnsi="Georgia"/>
                <w:color w:val="1A1A1A"/>
                <w:sz w:val="21"/>
                <w:szCs w:val="21"/>
              </w:rPr>
              <w:t xml:space="preserve">•  Held by approximately 43 million borrowers</w:t>
            </w:r>
          </w:p>
          <w:p>
            <w:pPr>
              <w:spacing w:after="100" w:line="280"/>
            </w:pPr>
            <w:r>
              <w:rPr>
                <w:rFonts w:ascii="Georgia" w:cs="Georgia" w:eastAsia="Georgia" w:hAnsi="Georgia"/>
                <w:color w:val="1A1A1A"/>
                <w:sz w:val="21"/>
                <w:szCs w:val="21"/>
              </w:rPr>
              <w:t xml:space="preserve">•  Private student loans add approximately $130 billion held by ~3 million borrowers</w:t>
            </w:r>
          </w:p>
          <w:p>
            <w:pPr>
              <w:spacing w:after="100" w:line="280"/>
            </w:pPr>
            <w:r>
              <w:rPr>
                <w:rFonts w:ascii="Georgia" w:cs="Georgia" w:eastAsia="Georgia" w:hAnsi="Georgia"/>
                <w:color w:val="1A1A1A"/>
                <w:sz w:val="21"/>
                <w:szCs w:val="21"/>
              </w:rPr>
              <w:t xml:space="preserve">•  Combined total: approximately $1.78 trillion across ~46 million Americans</w:t>
            </w:r>
          </w:p>
          <w:p>
            <w:pPr>
              <w:spacing w:after="100" w:line="280"/>
            </w:pPr>
            <w:r>
              <w:rPr>
                <w:rFonts w:ascii="Georgia" w:cs="Georgia" w:eastAsia="Georgia" w:hAnsi="Georgia"/>
                <w:color w:val="1A1A1A"/>
                <w:sz w:val="21"/>
                <w:szCs w:val="21"/>
              </w:rPr>
              <w:t xml:space="preserve">•  Average debt per borrower: approximately $38,700</w:t>
            </w:r>
          </w:p>
          <w:p>
            <w:pPr>
              <w:spacing w:after="100" w:line="280"/>
            </w:pPr>
            <w:r>
              <w:rPr>
                <w:rFonts w:ascii="Georgia" w:cs="Georgia" w:eastAsia="Georgia" w:hAnsi="Georgia"/>
                <w:color w:val="1A1A1A"/>
                <w:sz w:val="21"/>
                <w:szCs w:val="21"/>
              </w:rPr>
              <w:t xml:space="preserve">•  These figures reflect data current through the platform's analytical work; actual figures should be verified against current sources before treating as authoritative</w:t>
            </w:r>
          </w:p>
        </w:tc>
      </w:tr>
    </w:tbl>
    <w:p>
      <w:pPr>
        <w:spacing w:after="200" w:line="320"/>
        <w:jc w:val="both"/>
      </w:pPr>
      <w:r>
        <w:rPr>
          <w:rFonts w:ascii="Georgia" w:cs="Georgia" w:eastAsia="Georgia" w:hAnsi="Georgia"/>
          <w:color w:val="1A1A1A"/>
          <w:sz w:val="22"/>
          <w:szCs w:val="22"/>
        </w:rPr>
        <w:t xml:space="preserve">Americans hold about $1.78 trillion in aggregate student debt (05_Unlocking_Americas_Potential.docx; the platform overview gives roughly $1.7 trillion), and every scenario below is measured against that total. [ADDED v3.8.349: this document reasoned about retiring the debt without ever stating its size.] The structural causes of student loan debt are well-documented. Federal aid eligibility expanded faster than institutional cost discipline, allowing higher education institutions to raise prices to capture maximum federal aid amounts rather than to cover delivery costs. The platform addresses this going forward through cost-based pricing tied to field-of-study formulas. But the debt accumulated under the previous system remains, affecting tens of millions of Americans whose financial lives are constrained by it.</w:t>
      </w:r>
    </w:p>
    <w:p>
      <w:pPr>
        <w:pStyle w:val="Heading2"/>
        <w:spacing w:after="160" w:before="360"/>
      </w:pPr>
      <w:r>
        <w:rPr>
          <w:rFonts w:ascii="Arial" w:cs="Arial" w:eastAsia="Arial" w:hAnsi="Arial"/>
          <w:b/>
          <w:bCs/>
          <w:color w:val="1F4E78"/>
          <w:sz w:val="28"/>
          <w:szCs w:val="28"/>
        </w:rPr>
        <w:t xml:space="preserve">Medical Debt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As of early 2026 (Kaiser Family Foundation analysis)</w:t>
            </w:r>
          </w:p>
          <w:p>
            <w:pPr>
              <w:spacing w:after="100" w:line="280"/>
            </w:pPr>
            <w:r>
              <w:rPr>
                <w:rFonts w:ascii="Georgia" w:cs="Georgia" w:eastAsia="Georgia" w:hAnsi="Georgia"/>
                <w:color w:val="1A1A1A"/>
                <w:sz w:val="21"/>
                <w:szCs w:val="21"/>
              </w:rPr>
              <w:t xml:space="preserve">•  Total medical debt held by Americans: approximately $220 billion</w:t>
            </w:r>
          </w:p>
          <w:p>
            <w:pPr>
              <w:spacing w:after="100" w:line="280"/>
            </w:pPr>
            <w:r>
              <w:rPr>
                <w:rFonts w:ascii="Georgia" w:cs="Georgia" w:eastAsia="Georgia" w:hAnsi="Georgia"/>
                <w:color w:val="1A1A1A"/>
                <w:sz w:val="21"/>
                <w:szCs w:val="21"/>
              </w:rPr>
              <w:t xml:space="preserve">•  Medical debt in collections: approximately $88 billion</w:t>
            </w:r>
          </w:p>
          <w:p>
            <w:pPr>
              <w:spacing w:after="100" w:line="280"/>
            </w:pPr>
            <w:r>
              <w:rPr>
                <w:rFonts w:ascii="Georgia" w:cs="Georgia" w:eastAsia="Georgia" w:hAnsi="Georgia"/>
                <w:color w:val="1A1A1A"/>
                <w:sz w:val="21"/>
                <w:szCs w:val="21"/>
              </w:rPr>
              <w:t xml:space="preserve">•  Approximately 100 million American adults have some medical debt</w:t>
            </w:r>
          </w:p>
          <w:p>
            <w:pPr>
              <w:spacing w:after="100" w:line="280"/>
            </w:pPr>
            <w:r>
              <w:rPr>
                <w:rFonts w:ascii="Georgia" w:cs="Georgia" w:eastAsia="Georgia" w:hAnsi="Georgia"/>
                <w:color w:val="1A1A1A"/>
                <w:sz w:val="21"/>
                <w:szCs w:val="21"/>
              </w:rPr>
              <w:t xml:space="preserve">•  Average debt for those affected: approximately $2,200</w:t>
            </w:r>
          </w:p>
          <w:p>
            <w:pPr>
              <w:spacing w:after="100" w:line="280"/>
            </w:pPr>
            <w:r>
              <w:rPr>
                <w:rFonts w:ascii="Georgia" w:cs="Georgia" w:eastAsia="Georgia" w:hAnsi="Georgia"/>
                <w:color w:val="1A1A1A"/>
                <w:sz w:val="21"/>
                <w:szCs w:val="21"/>
              </w:rPr>
              <w:t xml:space="preserve">•  These figures vary substantially across studies because medical debt is harder to measure than student loan debt</w:t>
            </w:r>
          </w:p>
          <w:p>
            <w:pPr>
              <w:spacing w:after="100" w:line="280"/>
            </w:pPr>
            <w:r>
              <w:rPr>
                <w:rFonts w:ascii="Georgia" w:cs="Georgia" w:eastAsia="Georgia" w:hAnsi="Georgia"/>
                <w:color w:val="1A1A1A"/>
                <w:sz w:val="21"/>
                <w:szCs w:val="21"/>
              </w:rPr>
              <w:t xml:space="preserve">•  Approximately 41% of US adults report having some medical debt according to KFF surveys</w:t>
            </w:r>
          </w:p>
        </w:tc>
      </w:tr>
    </w:tbl>
    <w:p>
      <w:pPr>
        <w:spacing w:after="200" w:line="320"/>
        <w:jc w:val="both"/>
      </w:pPr>
      <w:r>
        <w:rPr>
          <w:rFonts w:ascii="Georgia" w:cs="Georgia" w:eastAsia="Georgia" w:hAnsi="Georgia"/>
          <w:color w:val="1A1A1A"/>
          <w:sz w:val="22"/>
          <w:szCs w:val="22"/>
        </w:rPr>
        <w:t xml:space="preserve">Medical debt's structural causes are different from student loan debt. Most Americans incur medical debt not because they made poor decisions but because they encountered medical events while inadequately insured, faced surprise billing, or experienced gaps between insurance and actual costs. The platform addresses this going forward through universal healthcare. But the medical debt accumulated under the previous system remains, affecting roughly 100 million American adults.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line="300"/>
            </w:pPr>
            <w:r>
              <w:rPr>
                <w:rFonts w:ascii="Georgia" w:cs="Georgia" w:eastAsia="Georgia" w:hAnsi="Georgia"/>
                <w:i/>
                <w:iCs/>
                <w:color w:val="1A1A1A"/>
                <w:sz w:val="22"/>
                <w:szCs w:val="22"/>
              </w:rPr>
              <w:t xml:space="preserve">The two debts are radically different in scale: student loans are roughly eight times larger than total medical debt. The retirement strategies must therefore differ substantially in timeline and mechanism.</w:t>
            </w:r>
          </w:p>
        </w:tc>
      </w:tr>
    </w:tbl>
    <w:p>
      <w:r>
        <w:br w:type="page"/>
      </w:r>
    </w:p>
    <w:p>
      <w:pPr>
        <w:pStyle w:val="Heading1"/>
        <w:spacing w:after="240" w:before="480"/>
      </w:pPr>
      <w:r>
        <w:rPr>
          <w:rFonts w:ascii="Arial" w:cs="Arial" w:eastAsia="Arial" w:hAnsi="Arial"/>
          <w:b/>
          <w:bCs/>
          <w:color w:val="1F4E78"/>
          <w:sz w:val="36"/>
          <w:szCs w:val="36"/>
        </w:rPr>
        <w:t xml:space="preserve">Sovereign Fund Surplus Capacity</w:t>
      </w:r>
    </w:p>
    <w:p>
      <w:pPr>
        <w:spacing w:after="240" w:line="340"/>
        <w:jc w:val="both"/>
      </w:pPr>
      <w:r>
        <w:rPr>
          <w:rFonts w:ascii="Georgia" w:cs="Georgia" w:eastAsia="Georgia" w:hAnsi="Georgia"/>
          <w:color w:val="1A1A1A"/>
          <w:sz w:val="24"/>
          <w:szCs w:val="24"/>
        </w:rPr>
        <w:t xml:space="preserve">The platform's Sovereign Fund grows according to a trajectory documented in the Combined Reform Model. The fund's annual disbursement at the platform's standard 1.2% rate produces capacity that grows substantially across the platform's first few decades. This is the capacity available for retroactive student loan retirement.</w:t>
      </w:r>
    </w:p>
    <w:p>
      <w:pPr>
        <w:spacing w:after="2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0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left"/>
            </w:pPr>
            <w:r>
              <w:rPr>
                <w:rFonts w:ascii="Georgia" w:cs="Georgia" w:eastAsia="Georgia" w:hAnsi="Georgia"/>
                <w:b/>
                <w:bCs/>
                <w:color w:val="FFFFFF"/>
                <w:sz w:val="19"/>
                <w:szCs w:val="19"/>
              </w:rPr>
              <w:t xml:space="preserve">Platform Year</w:t>
            </w:r>
          </w:p>
        </w:tc>
        <w:tc>
          <w:tcPr>
            <w:tcW w:type="dxa" w:w="30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Sovereign Fund Balance</w:t>
            </w:r>
          </w:p>
        </w:tc>
        <w:tc>
          <w:tcPr>
            <w:tcW w:type="dxa" w:w="30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Annual 1.2% Disbursement</w:t>
            </w:r>
          </w:p>
        </w:tc>
      </w:tr>
      <w:tr>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Year 5</w:t>
            </w:r>
          </w:p>
        </w:tc>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$1.8 trillion</w:t>
            </w:r>
          </w:p>
        </w:tc>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$22 billion/yr</w:t>
            </w:r>
          </w:p>
        </w:tc>
      </w:tr>
      <w:tr>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Year 10</w:t>
            </w:r>
          </w:p>
        </w:tc>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$5.5 trillion</w:t>
            </w:r>
          </w:p>
        </w:tc>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$66 billion/yr</w:t>
            </w:r>
          </w:p>
        </w:tc>
      </w:tr>
      <w:tr>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Year 15</w:t>
            </w:r>
          </w:p>
        </w:tc>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$11 trillion</w:t>
            </w:r>
          </w:p>
        </w:tc>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$132 billion/yr</w:t>
            </w:r>
          </w:p>
        </w:tc>
      </w:tr>
      <w:tr>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Year 20</w:t>
            </w:r>
          </w:p>
        </w:tc>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$22 trillion</w:t>
            </w:r>
          </w:p>
        </w:tc>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$264 billion/yr</w:t>
            </w:r>
          </w:p>
        </w:tc>
      </w:tr>
      <w:tr>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Year 25</w:t>
            </w:r>
          </w:p>
        </w:tc>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$38 trillion</w:t>
            </w:r>
          </w:p>
        </w:tc>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$456 billion/yr</w:t>
            </w:r>
          </w:p>
        </w:tc>
      </w:tr>
      <w:tr>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Year 30</w:t>
            </w:r>
          </w:p>
        </w:tc>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$60 trillion</w:t>
            </w:r>
          </w:p>
        </w:tc>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$720 billion/yr</w:t>
            </w:r>
          </w:p>
        </w:tc>
      </w:tr>
    </w:tbl>
    <w:p>
      <w:pPr>
        <w:spacing w:after="300"/>
      </w:pPr>
      <w:r>
        <w:t xml:space="preserve"/>
      </w:r>
    </w:p>
    <w:p>
      <w:pPr>
        <w:spacing w:after="200" w:line="320"/>
        <w:jc w:val="both"/>
      </w:pPr>
      <w:r>
        <w:rPr>
          <w:rFonts w:ascii="Georgia" w:cs="Georgia" w:eastAsia="Georgia" w:hAnsi="Georgia"/>
          <w:color w:val="1A1A1A"/>
          <w:sz w:val="22"/>
          <w:szCs w:val="22"/>
        </w:rPr>
        <w:t xml:space="preserve">The fund's primary purpose is funding the Sovereign Education Fund's ongoing disbursements to current students. [RESTATED v3.8.349] THE CAPACITY IS REAL BUT IT IS NOT SPARE, and the figures this paragraph carried are retired. On the platform's current design, with Social Security absorbed into the Sovereign Fund, the fund holds about $17.5 trillion at Year 10, $26.3 trillion at Year 15 and $35.1 trillion at Year 20, so a 1.2 percent draw is about $210 billion, $316 billion and $421 billion -- against the $66 billion, $130 billion and quarter trillion this paragraph previously stated. BUT THAT DRAW IS ALREADY COMMITTED: it covers about 83 percent of the platform's own pillar commitments, so it is not idle money waiting to be spent. What makes retroactive retirement affordable is different and stronger: at its published return the platform REDUCES the federal deficit by about $2.72 trillion a year once mature. The question is therefore not whether the fund can carry it, but what the platform's overall position can bear IN THE YEARS THE RETIREMENT RUNS.</w:t>
      </w:r>
    </w:p>
    <w:p>
      <w:pPr>
        <w:spacing w:after="200" w:line="320"/>
        <w:jc w:val="both"/>
      </w:pPr>
      <w:r>
        <w:rPr>
          <w:rFonts w:ascii="Georgia" w:cs="Georgia" w:eastAsia="Georgia" w:hAnsi="Georgia"/>
          <w:color w:val="1A1A1A"/>
          <w:sz w:val="22"/>
          <w:szCs w:val="22"/>
        </w:rPr>
        <w:t xml:space="preserve">This means student loan retirement does not require additional contribution rates or new revenue streams. It requires deciding to direct some portion of the fund's growing surplus toward retroactive obligation rather than allowing it to accumulate indefinitely. The capacity exists. The question is policy.</w:t>
      </w:r>
    </w:p>
    <w:p>
      <w:r>
        <w:br w:type="page"/>
      </w:r>
    </w:p>
    <w:p>
      <w:pPr>
        <w:pStyle w:val="Heading1"/>
        <w:spacing w:after="240" w:before="480"/>
      </w:pPr>
      <w:r>
        <w:rPr>
          <w:rFonts w:ascii="Arial" w:cs="Arial" w:eastAsia="Arial" w:hAnsi="Arial"/>
          <w:b/>
          <w:bCs/>
          <w:color w:val="1F4E78"/>
          <w:sz w:val="36"/>
          <w:szCs w:val="36"/>
        </w:rPr>
        <w:t xml:space="preserve">Student Loan Retirement Scenarios</w:t>
      </w:r>
    </w:p>
    <w:p>
      <w:pPr>
        <w:spacing w:after="240" w:line="340"/>
        <w:jc w:val="both"/>
      </w:pPr>
      <w:r>
        <w:rPr>
          <w:rFonts w:ascii="Georgia" w:cs="Georgia" w:eastAsia="Georgia" w:hAnsi="Georgia"/>
          <w:color w:val="1A1A1A"/>
          <w:sz w:val="24"/>
          <w:szCs w:val="24"/>
        </w:rPr>
        <w:t xml:space="preserve">Three scenarios capture the range of plausible approaches. They differ primarily in timing rather than in feasibility — the platform's mathematics support all three, with different implications for current students and current borrowers.</w:t>
      </w:r>
    </w:p>
    <w:p>
      <w:pPr>
        <w:pStyle w:val="Heading2"/>
        <w:spacing w:after="160" w:before="360"/>
      </w:pPr>
      <w:r>
        <w:rPr>
          <w:rFonts w:ascii="Arial" w:cs="Arial" w:eastAsia="Arial" w:hAnsi="Arial"/>
          <w:b/>
          <w:bCs/>
          <w:color w:val="1F4E78"/>
          <w:sz w:val="28"/>
          <w:szCs w:val="28"/>
        </w:rPr>
        <w:t xml:space="preserve">Scenario A: Aggressive Retirement (Years 5-15)</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How it works</w:t>
            </w:r>
          </w:p>
          <w:p>
            <w:pPr>
              <w:spacing w:after="100" w:line="280"/>
            </w:pPr>
            <w:r>
              <w:rPr>
                <w:rFonts w:ascii="Georgia" w:cs="Georgia" w:eastAsia="Georgia" w:hAnsi="Georgia"/>
                <w:color w:val="1A1A1A"/>
                <w:sz w:val="21"/>
                <w:szCs w:val="21"/>
              </w:rPr>
              <w:t xml:space="preserve">•  Begin retiring federal student loans in Year 5, completing by Year 15</w:t>
            </w:r>
          </w:p>
          <w:p>
            <w:pPr>
              <w:spacing w:after="100" w:line="280"/>
            </w:pPr>
            <w:r>
              <w:rPr>
                <w:rFonts w:ascii="Georgia" w:cs="Georgia" w:eastAsia="Georgia" w:hAnsi="Georgia"/>
                <w:color w:val="1A1A1A"/>
                <w:sz w:val="21"/>
                <w:szCs w:val="21"/>
              </w:rPr>
              <w:t xml:space="preserve">•  $1.65 trillion across 10 years equals approximately $165 billion/year average</w:t>
            </w:r>
          </w:p>
          <w:p>
            <w:pPr>
              <w:spacing w:after="100" w:line="280"/>
            </w:pPr>
            <w:r>
              <w:rPr>
                <w:rFonts w:ascii="Georgia" w:cs="Georgia" w:eastAsia="Georgia" w:hAnsi="Georgia"/>
                <w:color w:val="1A1A1A"/>
                <w:sz w:val="21"/>
                <w:szCs w:val="21"/>
              </w:rPr>
              <w:t xml:space="preserve">•  Year 10 disbursement at 1.2% produces $66 billion — insufficient for $165B requirement</w:t>
            </w:r>
          </w:p>
          <w:p>
            <w:pPr>
              <w:spacing w:after="100" w:line="280"/>
            </w:pPr>
            <w:r>
              <w:rPr>
                <w:rFonts w:ascii="Georgia" w:cs="Georgia" w:eastAsia="Georgia" w:hAnsi="Georgia"/>
                <w:color w:val="1A1A1A"/>
                <w:sz w:val="21"/>
                <w:szCs w:val="21"/>
              </w:rPr>
              <w:t xml:space="preserve">•  Year 15 disbursement at 1.2% produces $132 billion — still insufficient</w:t>
            </w:r>
          </w:p>
          <w:p>
            <w:pPr>
              <w:spacing w:after="100" w:line="280"/>
            </w:pPr>
            <w:r>
              <w:rPr>
                <w:rFonts w:ascii="Georgia" w:cs="Georgia" w:eastAsia="Georgia" w:hAnsi="Georgia"/>
                <w:color w:val="1A1A1A"/>
                <w:sz w:val="21"/>
                <w:szCs w:val="21"/>
              </w:rPr>
              <w:t xml:space="preserve">•  Would require Sovereign Fund disbursement at approximately 1.5% or supplemental funding from the healthcare pillar's surplus</w:t>
            </w:r>
          </w:p>
          <w:p>
            <w:pPr>
              <w:spacing w:after="100" w:line="280"/>
            </w:pPr>
            <w:r>
              <w:rPr>
                <w:rFonts w:ascii="Georgia" w:cs="Georgia" w:eastAsia="Georgia" w:hAnsi="Georgia"/>
                <w:color w:val="1A1A1A"/>
                <w:sz w:val="21"/>
                <w:szCs w:val="21"/>
              </w:rPr>
              <w:t xml:space="preserve">•  Trade-off: faster relief for current borrowers, but higher disbursement rate during a period when the fund is still maturing</w:t>
            </w:r>
          </w:p>
        </w:tc>
      </w:tr>
    </w:tbl>
    <w:p>
      <w:pPr>
        <w:spacing w:after="200" w:line="320"/>
        <w:jc w:val="both"/>
      </w:pPr>
      <w:r>
        <w:rPr>
          <w:rFonts w:ascii="Georgia" w:cs="Georgia" w:eastAsia="Georgia" w:hAnsi="Georgia"/>
          <w:color w:val="1A1A1A"/>
          <w:sz w:val="22"/>
          <w:szCs w:val="22"/>
        </w:rPr>
        <w:t xml:space="preserve">This scenario produces faster relief but creates the most fiscal stress on the platform's other commitments. [RESTATED v3.8.349] SCENARIO A IS NO LONGER FISCALLY IMPOSSIBLE. Retiring $1.78 trillion across eleven years costs about $162 billion a year; the fund's 1.2 percent draw covers 67 percent of that in Year 5 and passes 100 percent by Year 9. This paragraph previously said the Year 10 disbursement of $66 billion was 'genuinely insufficient', which was true of the retired figures and is not true of the current ones. WHAT REMAINS AGAINST A IS TIMING, NOT CAPACITY: it falls entirely inside the platform's most expensive decade, when the pillars' own build-out costs $1.4 to $1.7 trillion a year, peaking in Year 6. The political appeal is immediacy: tens of millions of Americans see their loans disappear within a decade of platform enactment. The fiscal cost is the strain on the fund during its maturation.</w:t>
      </w:r>
    </w:p>
    <w:p>
      <w:pPr>
        <w:pStyle w:val="Heading2"/>
        <w:spacing w:after="160" w:before="360"/>
      </w:pPr>
      <w:r>
        <w:rPr>
          <w:rFonts w:ascii="Arial" w:cs="Arial" w:eastAsia="Arial" w:hAnsi="Arial"/>
          <w:b/>
          <w:bCs/>
          <w:color w:val="1F4E78"/>
          <w:sz w:val="28"/>
          <w:szCs w:val="28"/>
        </w:rPr>
        <w:t xml:space="preserve">Scenario B: Moderate Retirement (Years 5-25)</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How it works</w:t>
            </w:r>
          </w:p>
          <w:p>
            <w:pPr>
              <w:spacing w:after="100" w:line="280"/>
            </w:pPr>
            <w:r>
              <w:rPr>
                <w:rFonts w:ascii="Georgia" w:cs="Georgia" w:eastAsia="Georgia" w:hAnsi="Georgia"/>
                <w:color w:val="1A1A1A"/>
                <w:sz w:val="21"/>
                <w:szCs w:val="21"/>
              </w:rPr>
              <w:t xml:space="preserve">•  Begin retiring federal student loans in Year 5, completing by Year 25</w:t>
            </w:r>
          </w:p>
          <w:p>
            <w:pPr>
              <w:spacing w:after="100" w:line="280"/>
            </w:pPr>
            <w:r>
              <w:rPr>
                <w:rFonts w:ascii="Georgia" w:cs="Georgia" w:eastAsia="Georgia" w:hAnsi="Georgia"/>
                <w:color w:val="1A1A1A"/>
                <w:sz w:val="21"/>
                <w:szCs w:val="21"/>
              </w:rPr>
              <w:t xml:space="preserve">•  $1.65 trillion across 20 years equals approximately $82.5 billion/year average</w:t>
            </w:r>
          </w:p>
          <w:p>
            <w:pPr>
              <w:spacing w:after="100" w:line="280"/>
            </w:pPr>
            <w:r>
              <w:rPr>
                <w:rFonts w:ascii="Georgia" w:cs="Georgia" w:eastAsia="Georgia" w:hAnsi="Georgia"/>
                <w:color w:val="1A1A1A"/>
                <w:sz w:val="21"/>
                <w:szCs w:val="21"/>
              </w:rPr>
              <w:t xml:space="preserve">•  Year 10 disbursement at 1.2% produces $66 billion — close to sufficient</w:t>
            </w:r>
          </w:p>
          <w:p>
            <w:pPr>
              <w:spacing w:after="100" w:line="280"/>
            </w:pPr>
            <w:r>
              <w:rPr>
                <w:rFonts w:ascii="Georgia" w:cs="Georgia" w:eastAsia="Georgia" w:hAnsi="Georgia"/>
                <w:color w:val="1A1A1A"/>
                <w:sz w:val="21"/>
                <w:szCs w:val="21"/>
              </w:rPr>
              <w:t xml:space="preserve">•  Year 15 disbursement at 1.2% produces $132 billion — substantially more than needed</w:t>
            </w:r>
          </w:p>
          <w:p>
            <w:pPr>
              <w:spacing w:after="100" w:line="280"/>
            </w:pPr>
            <w:r>
              <w:rPr>
                <w:rFonts w:ascii="Georgia" w:cs="Georgia" w:eastAsia="Georgia" w:hAnsi="Georgia"/>
                <w:color w:val="1A1A1A"/>
                <w:sz w:val="21"/>
                <w:szCs w:val="21"/>
              </w:rPr>
              <w:t xml:space="preserve">•  Year 20+ disbursement produces substantial surplus capacity beyond loan retirement</w:t>
            </w:r>
          </w:p>
          <w:p>
            <w:pPr>
              <w:spacing w:after="100" w:line="280"/>
            </w:pPr>
            <w:r>
              <w:rPr>
                <w:rFonts w:ascii="Georgia" w:cs="Georgia" w:eastAsia="Georgia" w:hAnsi="Georgia"/>
                <w:color w:val="1A1A1A"/>
                <w:sz w:val="21"/>
                <w:szCs w:val="21"/>
              </w:rPr>
              <w:t xml:space="preserve">•  Likely needs only 0.6–1.0% disbursement rate dedicated to retirement, leaving room for current education funding</w:t>
            </w:r>
          </w:p>
        </w:tc>
      </w:tr>
    </w:tbl>
    <w:p>
      <w:pPr>
        <w:spacing w:after="200" w:line="320"/>
        <w:jc w:val="both"/>
      </w:pPr>
      <w:r>
        <w:rPr>
          <w:rFonts w:ascii="Georgia" w:cs="Georgia" w:eastAsia="Georgia" w:hAnsi="Georgia"/>
          <w:color w:val="1A1A1A"/>
          <w:sz w:val="22"/>
          <w:szCs w:val="22"/>
        </w:rPr>
        <w:t xml:space="preserve">This scenario provides relief on a meaningful timeline without straining the fund's other commitments. [RESTATED v3.8.349] At about $85 billion a year, Scenario B is covered by the fund's draw from its first year -- 127 percent in Year 5, rising past 600 percent by Year 25 -- and it is small enough that no single year strains the platform even during the build-out. Its second half falls in the years when the platform is running a surplus rather than a cost. Most current borrowers see their loans disappear within their working lifetimes — a meaningful but not immediate benefit.</w:t>
      </w:r>
    </w:p>
    <w:p>
      <w:pPr>
        <w:pStyle w:val="Heading2"/>
        <w:spacing w:after="160" w:before="360"/>
      </w:pPr>
      <w:r>
        <w:rPr>
          <w:rFonts w:ascii="Arial" w:cs="Arial" w:eastAsia="Arial" w:hAnsi="Arial"/>
          <w:b/>
          <w:bCs/>
          <w:color w:val="1F4E78"/>
          <w:sz w:val="28"/>
          <w:szCs w:val="28"/>
        </w:rPr>
        <w:t xml:space="preserve">Scenario C: Conservative Retirement (Years 10-40)</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How it works</w:t>
            </w:r>
          </w:p>
          <w:p>
            <w:pPr>
              <w:spacing w:after="100" w:line="280"/>
            </w:pPr>
            <w:r>
              <w:rPr>
                <w:rFonts w:ascii="Georgia" w:cs="Georgia" w:eastAsia="Georgia" w:hAnsi="Georgia"/>
                <w:color w:val="1A1A1A"/>
                <w:sz w:val="21"/>
                <w:szCs w:val="21"/>
              </w:rPr>
              <w:t xml:space="preserve">•  Begin retiring federal student loans in Year 10 after the fund is established</w:t>
            </w:r>
          </w:p>
          <w:p>
            <w:pPr>
              <w:spacing w:after="100" w:line="280"/>
            </w:pPr>
            <w:r>
              <w:rPr>
                <w:rFonts w:ascii="Georgia" w:cs="Georgia" w:eastAsia="Georgia" w:hAnsi="Georgia"/>
                <w:color w:val="1A1A1A"/>
                <w:sz w:val="21"/>
                <w:szCs w:val="21"/>
              </w:rPr>
              <w:t xml:space="preserve">•  $1.65 trillion across 30 years equals approximately $55 billion/year average</w:t>
            </w:r>
          </w:p>
          <w:p>
            <w:pPr>
              <w:spacing w:after="100" w:line="280"/>
            </w:pPr>
            <w:r>
              <w:rPr>
                <w:rFonts w:ascii="Georgia" w:cs="Georgia" w:eastAsia="Georgia" w:hAnsi="Georgia"/>
                <w:color w:val="1A1A1A"/>
                <w:sz w:val="21"/>
                <w:szCs w:val="21"/>
              </w:rPr>
              <w:t xml:space="preserve">•  Year 15 disbursement of $132 billion easily covers retirement plus other needs</w:t>
            </w:r>
          </w:p>
          <w:p>
            <w:pPr>
              <w:spacing w:after="100" w:line="280"/>
            </w:pPr>
            <w:r>
              <w:rPr>
                <w:rFonts w:ascii="Georgia" w:cs="Georgia" w:eastAsia="Georgia" w:hAnsi="Georgia"/>
                <w:color w:val="1A1A1A"/>
                <w:sz w:val="21"/>
                <w:szCs w:val="21"/>
              </w:rPr>
              <w:t xml:space="preserve">•  Year 25+ disbursement of $456 billion produces enormous surplus beyond all platform commitments</w:t>
            </w:r>
          </w:p>
          <w:p>
            <w:pPr>
              <w:spacing w:after="100" w:line="280"/>
            </w:pPr>
            <w:r>
              <w:rPr>
                <w:rFonts w:ascii="Georgia" w:cs="Georgia" w:eastAsia="Georgia" w:hAnsi="Georgia"/>
                <w:color w:val="1A1A1A"/>
                <w:sz w:val="21"/>
                <w:szCs w:val="21"/>
              </w:rPr>
              <w:t xml:space="preserve">•  Effectively absorbed by the fund's natural growth without straining any current commitment</w:t>
            </w:r>
          </w:p>
          <w:p>
            <w:pPr>
              <w:spacing w:after="100" w:line="280"/>
            </w:pPr>
            <w:r>
              <w:rPr>
                <w:rFonts w:ascii="Georgia" w:cs="Georgia" w:eastAsia="Georgia" w:hAnsi="Georgia"/>
                <w:color w:val="1A1A1A"/>
                <w:sz w:val="21"/>
                <w:szCs w:val="21"/>
              </w:rPr>
              <w:t xml:space="preserve">•  Trade-off: many current borrowers reach retirement age before their loans are retired</w:t>
            </w:r>
          </w:p>
        </w:tc>
      </w:tr>
    </w:tbl>
    <w:p>
      <w:pPr>
        <w:spacing w:after="200" w:line="320"/>
        <w:jc w:val="both"/>
      </w:pPr>
      <w:r>
        <w:rPr>
          <w:rFonts w:ascii="Georgia" w:cs="Georgia" w:eastAsia="Georgia" w:hAnsi="Georgia"/>
          <w:color w:val="1A1A1A"/>
          <w:sz w:val="22"/>
          <w:szCs w:val="22"/>
        </w:rPr>
        <w:t xml:space="preserve">This scenario is the most fiscally conservative but provides the least immediate human benefit. Current borrowers in their 40s and 50s would see relief, but the slowest pace means many borrowers retire still carrying debt. [RESTATED v3.8.349] THE CORRECTION HAS WEAKENED THIS SCENARIO RATHER THAN THE OTHERS. At about $57 billion a year against a fund drawing $210 billion in Year 10, its caution now buys nothing that Scenario B does not already provide, while leaving many borrowers carrying debt into retirement. It remains the floor of what the arithmetic supports, but the arithmetic no longer requires a floor this low.</w:t>
      </w:r>
    </w:p>
    <w:p>
      <w:pPr>
        <w:pStyle w:val="Heading3"/>
        <w:spacing w:after="120" w:before="240"/>
      </w:pPr>
      <w:r>
        <w:rPr>
          <w:rFonts w:ascii="Arial" w:cs="Arial" w:eastAsia="Arial" w:hAnsi="Arial"/>
          <w:b/>
          <w:bCs/>
          <w:color w:val="C00000"/>
          <w:sz w:val="22"/>
          <w:szCs w:val="22"/>
        </w:rPr>
        <w:t xml:space="preserve">Author's Recommendation</w:t>
      </w:r>
    </w:p>
    <w:p>
      <w:pPr>
        <w:spacing w:after="200" w:line="320"/>
        <w:jc w:val="both"/>
      </w:pPr>
      <w:r>
        <w:rPr>
          <w:rFonts w:ascii="Georgia" w:cs="Georgia" w:eastAsia="Georgia" w:hAnsi="Georgia"/>
          <w:color w:val="1A1A1A"/>
          <w:sz w:val="22"/>
          <w:szCs w:val="22"/>
        </w:rPr>
        <w:t xml:space="preserve">Scenario B remains the recommendation, ON CORRECTED REASONING. [RESTATED v3.8.349] The case for it is no longer that the fund cannot afford anything faster -- it can. The case is the platform's own build-out: the pillars cost $1.4 to $1.7 trillion a year through the first fifteen years and peak in Year 6, and Scenario B's $85 billion a year is small enough to sit alongside that without competing with it, while its later years fall in the surplus. SCENARIO A IS AFFORDABLE AND IS THEREFORE A POLICY CHOICE, NOT A FISCAL IMPOSSIBILITY: it costs $162 billion a year, is short of full cover only in Years 5 to 8, and buys relief for tens of millions of people a decade sooner. Anyone who weighs that urgency above the build-out strain can choose it on the arithmetic as it now stands. Scenario C is the one the correction has left without a purpose.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“Scenario B retires the federal student loan portfolio across two decades, using approximately 0.6–1.0% disbursement rates that leave room for the platform's primary education funding commitments. The mathematics work without straining any other pillar.”</w:t>
            </w:r>
          </w:p>
        </w:tc>
      </w:tr>
    </w:tbl>
    <w:p>
      <w:r>
        <w:br w:type="page"/>
      </w:r>
    </w:p>
    <w:p>
      <w:pPr>
        <w:pStyle w:val="Heading1"/>
        <w:spacing w:after="240" w:before="480"/>
      </w:pPr>
      <w:r>
        <w:rPr>
          <w:rFonts w:ascii="Arial" w:cs="Arial" w:eastAsia="Arial" w:hAnsi="Arial"/>
          <w:b/>
          <w:bCs/>
          <w:color w:val="1F4E78"/>
          <w:sz w:val="36"/>
          <w:szCs w:val="36"/>
        </w:rPr>
        <w:t xml:space="preserve">Medical Debt Retirement</w:t>
      </w:r>
    </w:p>
    <w:p>
      <w:pPr>
        <w:spacing w:after="240" w:line="340"/>
        <w:jc w:val="both"/>
      </w:pPr>
      <w:r>
        <w:rPr>
          <w:rFonts w:ascii="Georgia" w:cs="Georgia" w:eastAsia="Georgia" w:hAnsi="Georgia"/>
          <w:color w:val="1A1A1A"/>
          <w:sz w:val="24"/>
          <w:szCs w:val="24"/>
        </w:rPr>
        <w:t xml:space="preserve">Medical debt is a fundamentally different problem from student loan debt and admits of much faster retirement. The total magnitude of approximately $220 billion is small relative to the healthcare pillar's projected surplus, and the distributed nature of the debt across roughly 100 million Americans means retroactive retirement produces immediate relief at small per-recipient cost.</w:t>
      </w:r>
    </w:p>
    <w:p>
      <w:pPr>
        <w:pStyle w:val="Heading2"/>
        <w:spacing w:after="160" w:before="360"/>
      </w:pPr>
      <w:r>
        <w:rPr>
          <w:rFonts w:ascii="Arial" w:cs="Arial" w:eastAsia="Arial" w:hAnsi="Arial"/>
          <w:b/>
          <w:bCs/>
          <w:color w:val="1F4E78"/>
          <w:sz w:val="28"/>
          <w:szCs w:val="28"/>
        </w:rPr>
        <w:t xml:space="preserve">Capacity Analysis</w:t>
      </w:r>
    </w:p>
    <w:p>
      <w:pPr>
        <w:spacing w:after="200" w:line="320"/>
        <w:jc w:val="both"/>
      </w:pPr>
      <w:r>
        <w:rPr>
          <w:rFonts w:ascii="Georgia" w:cs="Georgia" w:eastAsia="Georgia" w:hAnsi="Georgia"/>
          <w:color w:val="1A1A1A"/>
          <w:sz w:val="22"/>
          <w:szCs w:val="22"/>
        </w:rPr>
        <w:t>The universal healthcare Model documents the healthcare pillar's projected fiscal trajectory. [RESTATED v3.8.349] The pillar runs an annual surplus during its mature operation: 04_Universal_Healthcare_Model puts the net new federal cost at Year 10 at MINUS $1.81 trillion -- that is, an annual surplus of $1.81 trillion, not a cumulative $2.6 trillion. The conclusion below is therefore understated rather than overstated. This surplus emerges from administrative simplification, pharmaceutical pricing reform, provider price negotiation, and the elimination of the redundant administrative apparatus the current multi-payer private system requires.</w:t>
      </w:r>
    </w:p>
    <w:p>
      <w:pPr>
        <w:spacing w:after="200" w:line="320"/>
        <w:jc w:val="both"/>
      </w:pPr>
      <w:r>
        <w:rPr>
          <w:rFonts w:ascii="Georgia" w:cs="Georgia" w:eastAsia="Georgia" w:hAnsi="Georgia"/>
          <w:color w:val="1A1A1A"/>
          <w:sz w:val="22"/>
          <w:szCs w:val="22"/>
        </w:rPr>
        <w:t xml:space="preserve">Against this surplus, the $220 billion in total medical debt is essentially rounding error. The healthcare pillar's annual surplus alone, once mature, is more than sufficient to retire all medical debt in any year the policy chose to do so. The constraint is not capacity. It is policy choice and operational logistics.</w:t>
      </w:r>
    </w:p>
    <w:p>
      <w:pPr>
        <w:pStyle w:val="Heading2"/>
        <w:spacing w:after="160" w:before="360"/>
      </w:pPr>
      <w:r>
        <w:rPr>
          <w:rFonts w:ascii="Arial" w:cs="Arial" w:eastAsia="Arial" w:hAnsi="Arial"/>
          <w:b/>
          <w:bCs/>
          <w:color w:val="1F4E78"/>
          <w:sz w:val="28"/>
          <w:szCs w:val="28"/>
        </w:rPr>
        <w:t xml:space="preserve">Retirement Scenarios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Scenario A — Rapid Retirement (Years 5-7)</w:t>
            </w:r>
          </w:p>
          <w:p>
            <w:pPr>
              <w:spacing w:after="100" w:line="280"/>
            </w:pPr>
            <w:r>
              <w:rPr>
                <w:rFonts w:ascii="Georgia" w:cs="Georgia" w:eastAsia="Georgia" w:hAnsi="Georgia"/>
                <w:color w:val="1A1A1A"/>
                <w:sz w:val="21"/>
                <w:szCs w:val="21"/>
              </w:rPr>
              <w:t xml:space="preserve">•  Begin retiring medical debt in Year 5 of platform operation</w:t>
            </w:r>
          </w:p>
          <w:p>
            <w:pPr>
              <w:spacing w:after="100" w:line="280"/>
            </w:pPr>
            <w:r>
              <w:rPr>
                <w:rFonts w:ascii="Georgia" w:cs="Georgia" w:eastAsia="Georgia" w:hAnsi="Georgia"/>
                <w:color w:val="1A1A1A"/>
                <w:sz w:val="21"/>
                <w:szCs w:val="21"/>
              </w:rPr>
              <w:t xml:space="preserve">•  Complete retirement of all $220B in medical debt within 2-3 years</w:t>
            </w:r>
          </w:p>
          <w:p>
            <w:pPr>
              <w:spacing w:after="100" w:line="280"/>
            </w:pPr>
            <w:r>
              <w:rPr>
                <w:rFonts w:ascii="Georgia" w:cs="Georgia" w:eastAsia="Georgia" w:hAnsi="Georgia"/>
                <w:color w:val="1A1A1A"/>
                <w:sz w:val="21"/>
                <w:szCs w:val="21"/>
              </w:rPr>
              <w:t xml:space="preserve">•  Required: approximately $75-110 billion per year</w:t>
            </w:r>
          </w:p>
          <w:p>
            <w:pPr>
              <w:spacing w:after="100" w:line="280"/>
            </w:pPr>
            <w:r>
              <w:rPr>
                <w:rFonts w:ascii="Georgia" w:cs="Georgia" w:eastAsia="Georgia" w:hAnsi="Georgia"/>
                <w:color w:val="1A1A1A"/>
                <w:sz w:val="21"/>
                <w:szCs w:val="21"/>
              </w:rPr>
              <w:t xml:space="preserve">•  Healthcare pillar surplus by Year 5: approximately $200B+ annually</w:t>
            </w:r>
          </w:p>
          <w:p>
            <w:pPr>
              <w:spacing w:after="100" w:line="280"/>
            </w:pPr>
            <w:r>
              <w:rPr>
                <w:rFonts w:ascii="Georgia" w:cs="Georgia" w:eastAsia="Georgia" w:hAnsi="Georgia"/>
                <w:color w:val="1A1A1A"/>
                <w:sz w:val="21"/>
                <w:szCs w:val="21"/>
              </w:rPr>
              <w:t xml:space="preserve">•  Achievable from healthcare pillar surplus alone, no Sovereign Fund involvement</w:t>
            </w:r>
          </w:p>
          <w:p>
            <w:pPr>
              <w:spacing w:after="100" w:line="280"/>
            </w:pPr>
            <w:r>
              <w:rPr>
                <w:rFonts w:ascii="Georgia" w:cs="Georgia" w:eastAsia="Georgia" w:hAnsi="Georgia"/>
                <w:color w:val="1A1A1A"/>
                <w:sz w:val="21"/>
                <w:szCs w:val="21"/>
              </w:rPr>
              <w:t xml:space="preserve">•  Roughly 100 million Americans see their medical debt disappear within the first decade</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Scenario B — Immediate Retirement (Year 5)</w:t>
            </w:r>
          </w:p>
          <w:p>
            <w:pPr>
              <w:spacing w:after="100" w:line="280"/>
            </w:pPr>
            <w:r>
              <w:rPr>
                <w:rFonts w:ascii="Georgia" w:cs="Georgia" w:eastAsia="Georgia" w:hAnsi="Georgia"/>
                <w:color w:val="1A1A1A"/>
                <w:sz w:val="21"/>
                <w:szCs w:val="21"/>
              </w:rPr>
              <w:t xml:space="preserve">•  Retire all $220B in medical debt in a single year, immediately upon healthcare pillar maturity</w:t>
            </w:r>
          </w:p>
          <w:p>
            <w:pPr>
              <w:spacing w:after="100" w:line="280"/>
            </w:pPr>
            <w:r>
              <w:rPr>
                <w:rFonts w:ascii="Georgia" w:cs="Georgia" w:eastAsia="Georgia" w:hAnsi="Georgia"/>
                <w:color w:val="1A1A1A"/>
                <w:sz w:val="21"/>
                <w:szCs w:val="21"/>
              </w:rPr>
              <w:t xml:space="preserve">•  Healthcare pillar surplus by Year 5: approximately $200B annually</w:t>
            </w:r>
          </w:p>
          <w:p>
            <w:pPr>
              <w:spacing w:after="100" w:line="280"/>
            </w:pPr>
            <w:r>
              <w:rPr>
                <w:rFonts w:ascii="Georgia" w:cs="Georgia" w:eastAsia="Georgia" w:hAnsi="Georgia"/>
                <w:color w:val="1A1A1A"/>
                <w:sz w:val="21"/>
                <w:szCs w:val="21"/>
              </w:rPr>
              <w:t xml:space="preserve">•  Sovereign Fund supplemental disbursement: approximately $22B in Year 5</w:t>
            </w:r>
          </w:p>
          <w:p>
            <w:pPr>
              <w:spacing w:after="100" w:line="280"/>
            </w:pPr>
            <w:r>
              <w:rPr>
                <w:rFonts w:ascii="Georgia" w:cs="Georgia" w:eastAsia="Georgia" w:hAnsi="Georgia"/>
                <w:color w:val="1A1A1A"/>
                <w:sz w:val="21"/>
                <w:szCs w:val="21"/>
              </w:rPr>
              <w:t xml:space="preserve">•  Combined capacity: sufficient to handle the obligation in a single year</w:t>
            </w:r>
          </w:p>
          <w:p>
            <w:pPr>
              <w:spacing w:after="100" w:line="280"/>
            </w:pPr>
            <w:r>
              <w:rPr>
                <w:rFonts w:ascii="Georgia" w:cs="Georgia" w:eastAsia="Georgia" w:hAnsi="Georgia"/>
                <w:color w:val="1A1A1A"/>
                <w:sz w:val="21"/>
                <w:szCs w:val="21"/>
              </w:rPr>
              <w:t xml:space="preserve">•  Politically powerful: every American with medical debt sees it eliminated at once</w:t>
            </w:r>
          </w:p>
          <w:p>
            <w:pPr>
              <w:spacing w:after="100" w:line="280"/>
            </w:pPr>
            <w:r>
              <w:rPr>
                <w:rFonts w:ascii="Georgia" w:cs="Georgia" w:eastAsia="Georgia" w:hAnsi="Georgia"/>
                <w:color w:val="1A1A1A"/>
                <w:sz w:val="21"/>
                <w:szCs w:val="21"/>
              </w:rPr>
              <w:t xml:space="preserve">•  Logistically demanding: requires rapid administrative capacity to identify and retire all qualifying debt</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Scenario C — Steady-State Retirement (Years 5-10)</w:t>
            </w:r>
          </w:p>
          <w:p>
            <w:pPr>
              <w:spacing w:after="100" w:line="280"/>
            </w:pPr>
            <w:r>
              <w:rPr>
                <w:rFonts w:ascii="Georgia" w:cs="Georgia" w:eastAsia="Georgia" w:hAnsi="Georgia"/>
                <w:color w:val="1A1A1A"/>
                <w:sz w:val="21"/>
                <w:szCs w:val="21"/>
              </w:rPr>
              <w:t xml:space="preserve">•  Retire medical debt across the platform's first half-decade of operation</w:t>
            </w:r>
          </w:p>
          <w:p>
            <w:pPr>
              <w:spacing w:after="100" w:line="280"/>
            </w:pPr>
            <w:r>
              <w:rPr>
                <w:rFonts w:ascii="Georgia" w:cs="Georgia" w:eastAsia="Georgia" w:hAnsi="Georgia"/>
                <w:color w:val="1A1A1A"/>
                <w:sz w:val="21"/>
                <w:szCs w:val="21"/>
              </w:rPr>
              <w:t xml:space="preserve">•  $220B over 5 years equals $44 billion per year</w:t>
            </w:r>
          </w:p>
          <w:p>
            <w:pPr>
              <w:spacing w:after="100" w:line="280"/>
            </w:pPr>
            <w:r>
              <w:rPr>
                <w:rFonts w:ascii="Georgia" w:cs="Georgia" w:eastAsia="Georgia" w:hAnsi="Georgia"/>
                <w:color w:val="1A1A1A"/>
                <w:sz w:val="21"/>
                <w:szCs w:val="21"/>
              </w:rPr>
              <w:t xml:space="preserve">•  Easily within healthcare pillar surplus capacity at any year</w:t>
            </w:r>
          </w:p>
          <w:p>
            <w:pPr>
              <w:spacing w:after="100" w:line="280"/>
            </w:pPr>
            <w:r>
              <w:rPr>
                <w:rFonts w:ascii="Georgia" w:cs="Georgia" w:eastAsia="Georgia" w:hAnsi="Georgia"/>
                <w:color w:val="1A1A1A"/>
                <w:sz w:val="21"/>
                <w:szCs w:val="21"/>
              </w:rPr>
              <w:t xml:space="preserve">•  Allows orderly administrative implementation</w:t>
            </w:r>
          </w:p>
          <w:p>
            <w:pPr>
              <w:spacing w:after="100" w:line="280"/>
            </w:pPr>
            <w:r>
              <w:rPr>
                <w:rFonts w:ascii="Georgia" w:cs="Georgia" w:eastAsia="Georgia" w:hAnsi="Georgia"/>
                <w:color w:val="1A1A1A"/>
                <w:sz w:val="21"/>
                <w:szCs w:val="21"/>
              </w:rPr>
              <w:t xml:space="preserve">•  Balances immediate human benefit with operational realism</w:t>
            </w:r>
          </w:p>
        </w:tc>
      </w:tr>
    </w:tbl>
    <w:p>
      <w:pPr>
        <w:spacing w:after="200" w:line="320"/>
        <w:jc w:val="both"/>
      </w:pPr>
      <w:r>
        <w:rPr>
          <w:rFonts w:ascii="Georgia" w:cs="Georgia" w:eastAsia="Georgia" w:hAnsi="Georgia"/>
          <w:color w:val="1A1A1A"/>
          <w:sz w:val="22"/>
          <w:szCs w:val="22"/>
        </w:rPr>
        <w:t xml:space="preserve">All three scenarios are mathematically achievable. The choice depends primarily on operational capacity to implement at the required pace and on political judgment about how visible immediate relief should be. Scenario B (single-year retirement) is the politically powerful choice. Scenario C (steady-state retirement) is the administratively reasonable choice. The author leans toward Scenario C: steady, transparent, achievable, with universal results within the platform's first decade.</w:t>
      </w:r>
    </w:p>
    <w:p>
      <w:pPr>
        <w:pStyle w:val="Heading3"/>
        <w:spacing w:after="120" w:before="240"/>
      </w:pPr>
      <w:r>
        <w:rPr>
          <w:rFonts w:ascii="Arial" w:cs="Arial" w:eastAsia="Arial" w:hAnsi="Arial"/>
          <w:b/>
          <w:bCs/>
          <w:color w:val="C00000"/>
          <w:sz w:val="22"/>
          <w:szCs w:val="22"/>
        </w:rPr>
        <w:t xml:space="preserve">Why Medical Debt Retirement Matters</w:t>
      </w:r>
    </w:p>
    <w:p>
      <w:pPr>
        <w:spacing w:after="200" w:line="320"/>
        <w:jc w:val="both"/>
      </w:pPr>
      <w:r>
        <w:rPr>
          <w:rFonts w:ascii="Georgia" w:cs="Georgia" w:eastAsia="Georgia" w:hAnsi="Georgia"/>
          <w:color w:val="1A1A1A"/>
          <w:sz w:val="22"/>
          <w:szCs w:val="22"/>
        </w:rPr>
        <w:t xml:space="preserve">Medical debt has effects on American life that extend well beyond the dollar amounts. It depresses credit scores for tens of millions of Americans, affecting their ability to rent housing, get jobs requiring credit checks, or take out loans for legitimate purposes. It produces measurable mental health effects — stress, anxiety, hopelessness — with their own downstream costs. It distorts medical decision-making, with many Americans avoiding necessary care to prevent additional debt accumulation. Retiring medical debt produces benefits that compound across all these dimensions, not just the direct fiscal benefit.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“Medical debt is small enough that the platform can retire it entirely within five years of pillar maturity, funded from healthcare pillar surplus alone. Approximately 100 million Americans see their medical debt eliminated. The dollar magnitude is modest. The human benefit is substantial.”</w:t>
            </w:r>
          </w:p>
        </w:tc>
      </w:tr>
    </w:tbl>
    <w:p>
      <w:r>
        <w:br w:type="page"/>
      </w:r>
    </w:p>
    <w:p>
      <w:pPr>
        <w:pStyle w:val="Heading1"/>
        <w:spacing w:after="240" w:before="480"/>
      </w:pPr>
      <w:r>
        <w:rPr>
          <w:rFonts w:ascii="Arial" w:cs="Arial" w:eastAsia="Arial" w:hAnsi="Arial"/>
          <w:b/>
          <w:bCs/>
          <w:color w:val="1F4E78"/>
          <w:sz w:val="36"/>
          <w:szCs w:val="36"/>
        </w:rPr>
        <w:t xml:space="preserve">Aligning the Two Debts in a Single Phasing Strategy</w:t>
      </w:r>
    </w:p>
    <w:p>
      <w:pPr>
        <w:spacing w:after="240" w:line="340"/>
        <w:jc w:val="both"/>
      </w:pPr>
      <w:r>
        <w:rPr>
          <w:rFonts w:ascii="Georgia" w:cs="Georgia" w:eastAsia="Georgia" w:hAnsi="Georgia"/>
          <w:color w:val="1A1A1A"/>
          <w:sz w:val="24"/>
          <w:szCs w:val="24"/>
        </w:rPr>
        <w:t xml:space="preserve">The platform can address both debts through coordinated phasing that uses different surplus sources for each. The two retirements complement each other rather than competing for resources, because they draw on fundamentally different capacity pools.</w:t>
      </w:r>
    </w:p>
    <w:p>
      <w:pPr>
        <w:pStyle w:val="Heading2"/>
        <w:spacing w:after="160" w:before="360"/>
      </w:pPr>
      <w:r>
        <w:rPr>
          <w:rFonts w:ascii="Arial" w:cs="Arial" w:eastAsia="Arial" w:hAnsi="Arial"/>
          <w:b/>
          <w:bCs/>
          <w:color w:val="1F4E78"/>
          <w:sz w:val="28"/>
          <w:szCs w:val="28"/>
        </w:rPr>
        <w:t xml:space="preserve">Year-by-Year Coordinated Plan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300"/>
        <w:gridCol w:w="3850"/>
        <w:gridCol w:w="3850"/>
      </w:tblGrid>
      <w:tr>
        <w:tc>
          <w:tcPr>
            <w:tcW w:type="dxa" w:w="13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left"/>
            </w:pPr>
            <w:r>
              <w:rPr>
                <w:rFonts w:ascii="Georgia" w:cs="Georgia" w:eastAsia="Georgia" w:hAnsi="Georgia"/>
                <w:b/>
                <w:bCs/>
                <w:color w:val="FFFFFF"/>
                <w:sz w:val="19"/>
                <w:szCs w:val="19"/>
              </w:rPr>
              <w:t xml:space="preserve">Year</w:t>
            </w:r>
          </w:p>
        </w:tc>
        <w:tc>
          <w:tcPr>
            <w:tcW w:type="dxa" w:w="385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Medical Debt Action</w:t>
            </w:r>
          </w:p>
        </w:tc>
        <w:tc>
          <w:tcPr>
            <w:tcW w:type="dxa" w:w="385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Student Loan Action</w:t>
            </w:r>
          </w:p>
        </w:tc>
      </w:tr>
      <w:tr>
        <w:tc>
          <w:tcPr>
            <w:tcW w:type="dxa" w:w="13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Year 1-4</w:t>
            </w:r>
          </w:p>
        </w:tc>
        <w:tc>
          <w:tcPr>
            <w:tcW w:type="dxa" w:w="38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Healthcare pillar building</w:t>
            </w:r>
          </w:p>
        </w:tc>
        <w:tc>
          <w:tcPr>
            <w:tcW w:type="dxa" w:w="38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Sovereign Fund building</w:t>
            </w:r>
          </w:p>
        </w:tc>
      </w:tr>
      <w:tr>
        <w:tc>
          <w:tcPr>
            <w:tcW w:type="dxa" w:w="13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Year 5</w:t>
            </w:r>
          </w:p>
        </w:tc>
        <w:tc>
          <w:tcPr>
            <w:tcW w:type="dxa" w:w="38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Begin retirement ($44B from healthcare)</w:t>
            </w:r>
          </w:p>
        </w:tc>
        <w:tc>
          <w:tcPr>
            <w:tcW w:type="dxa" w:w="38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Begin retirement ($22B from fund)</w:t>
            </w:r>
          </w:p>
        </w:tc>
      </w:tr>
      <w:tr>
        <w:tc>
          <w:tcPr>
            <w:tcW w:type="dxa" w:w="13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Year 6</w:t>
            </w:r>
          </w:p>
        </w:tc>
        <w:tc>
          <w:tcPr>
            <w:tcW w:type="dxa" w:w="38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Continue ($44B)</w:t>
            </w:r>
          </w:p>
        </w:tc>
        <w:tc>
          <w:tcPr>
            <w:tcW w:type="dxa" w:w="38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Continue ($30B — fund growing)</w:t>
            </w:r>
          </w:p>
        </w:tc>
      </w:tr>
      <w:tr>
        <w:tc>
          <w:tcPr>
            <w:tcW w:type="dxa" w:w="13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Year 7</w:t>
            </w:r>
          </w:p>
        </w:tc>
        <w:tc>
          <w:tcPr>
            <w:tcW w:type="dxa" w:w="38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Continue ($44B)</w:t>
            </w:r>
          </w:p>
        </w:tc>
        <w:tc>
          <w:tcPr>
            <w:tcW w:type="dxa" w:w="38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Continue ($45B)</w:t>
            </w:r>
          </w:p>
        </w:tc>
      </w:tr>
      <w:tr>
        <w:tc>
          <w:tcPr>
            <w:tcW w:type="dxa" w:w="13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Year 8</w:t>
            </w:r>
          </w:p>
        </w:tc>
        <w:tc>
          <w:tcPr>
            <w:tcW w:type="dxa" w:w="38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Continue ($44B)</w:t>
            </w:r>
          </w:p>
        </w:tc>
        <w:tc>
          <w:tcPr>
            <w:tcW w:type="dxa" w:w="38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Continue ($55B)</w:t>
            </w:r>
          </w:p>
        </w:tc>
      </w:tr>
      <w:tr>
        <w:tc>
          <w:tcPr>
            <w:tcW w:type="dxa" w:w="13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Year 9</w:t>
            </w:r>
          </w:p>
        </w:tc>
        <w:tc>
          <w:tcPr>
            <w:tcW w:type="dxa" w:w="38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Continue ($44B — final year)</w:t>
            </w:r>
          </w:p>
        </w:tc>
        <w:tc>
          <w:tcPr>
            <w:tcW w:type="dxa" w:w="38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Continue ($60B)</w:t>
            </w:r>
          </w:p>
        </w:tc>
      </w:tr>
      <w:tr>
        <w:tc>
          <w:tcPr>
            <w:tcW w:type="dxa" w:w="13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Year 10</w:t>
            </w:r>
          </w:p>
        </w:tc>
        <w:tc>
          <w:tcPr>
            <w:tcW w:type="dxa" w:w="38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Medical debt retired — $220B done</w:t>
            </w:r>
          </w:p>
        </w:tc>
        <w:tc>
          <w:tcPr>
            <w:tcW w:type="dxa" w:w="38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Continue ($66B)</w:t>
            </w:r>
          </w:p>
        </w:tc>
      </w:tr>
      <w:tr>
        <w:tc>
          <w:tcPr>
            <w:tcW w:type="dxa" w:w="13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Year 15</w:t>
            </w:r>
          </w:p>
        </w:tc>
        <w:tc>
          <w:tcPr>
            <w:tcW w:type="dxa" w:w="38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w:t>
            </w:r>
          </w:p>
        </w:tc>
        <w:tc>
          <w:tcPr>
            <w:tcW w:type="dxa" w:w="38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Continue ($120-130B — well underway)</w:t>
            </w:r>
          </w:p>
        </w:tc>
      </w:tr>
      <w:tr>
        <w:tc>
          <w:tcPr>
            <w:tcW w:type="dxa" w:w="13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Year 20</w:t>
            </w:r>
          </w:p>
        </w:tc>
        <w:tc>
          <w:tcPr>
            <w:tcW w:type="dxa" w:w="38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w:t>
            </w:r>
          </w:p>
        </w:tc>
        <w:tc>
          <w:tcPr>
            <w:tcW w:type="dxa" w:w="38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Continue ($160B — majority retired)</w:t>
            </w:r>
          </w:p>
        </w:tc>
      </w:tr>
      <w:tr>
        <w:tc>
          <w:tcPr>
            <w:tcW w:type="dxa" w:w="13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Year 25</w:t>
            </w:r>
          </w:p>
        </w:tc>
        <w:tc>
          <w:tcPr>
            <w:tcW w:type="dxa" w:w="38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w:t>
            </w:r>
          </w:p>
        </w:tc>
        <w:tc>
          <w:tcPr>
            <w:tcW w:type="dxa" w:w="38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Federal student loans retired — $1.65T done</w:t>
            </w:r>
          </w:p>
        </w:tc>
      </w:tr>
    </w:tbl>
    <w:p>
      <w:pPr>
        <w:spacing w:after="300"/>
      </w:pPr>
      <w:r>
        <w:t xml:space="preserve"/>
      </w:r>
    </w:p>
    <w:p>
      <w:pPr>
        <w:spacing w:after="200" w:line="320"/>
        <w:jc w:val="both"/>
      </w:pPr>
      <w:r>
        <w:rPr>
          <w:rFonts w:ascii="Georgia" w:cs="Georgia" w:eastAsia="Georgia" w:hAnsi="Georgia"/>
          <w:color w:val="1A1A1A"/>
          <w:sz w:val="22"/>
          <w:szCs w:val="22"/>
        </w:rPr>
        <w:t xml:space="preserve">This coordinated plan produces visible results within the platform's first decade. Medical debt is fully retired by Year 10. Federal student loans are largely retired by Year 20. The fiscal capacity for both comes from existing platform mechanisms (healthcare pillar surplus and Sovereign Fund growth) without requiring new contribution rates or new revenue sources. The political appeal is significant: every administration during the platform's first two decades can point to ongoing retroactive relief that's reaching tens of millions of Americans.</w:t>
      </w:r>
    </w:p>
    <w:p>
      <w:pPr>
        <w:pStyle w:val="Heading2"/>
        <w:spacing w:after="160" w:before="360"/>
      </w:pPr>
      <w:r>
        <w:rPr>
          <w:rFonts w:ascii="Arial" w:cs="Arial" w:eastAsia="Arial" w:hAnsi="Arial"/>
          <w:b/>
          <w:bCs/>
          <w:color w:val="1F4E78"/>
          <w:sz w:val="28"/>
          <w:szCs w:val="28"/>
        </w:rPr>
        <w:t xml:space="preserve">Private Student Loans</w:t>
      </w:r>
    </w:p>
    <w:p>
      <w:pPr>
        <w:spacing w:after="200" w:line="320"/>
        <w:jc w:val="both"/>
      </w:pPr>
      <w:r>
        <w:rPr>
          <w:rFonts w:ascii="Georgia" w:cs="Georgia" w:eastAsia="Georgia" w:hAnsi="Georgia"/>
          <w:color w:val="1A1A1A"/>
          <w:sz w:val="22"/>
          <w:szCs w:val="22"/>
        </w:rPr>
        <w:t xml:space="preserve">The $130 billion in private student loans presents a separate question. Private loans are held by private institutions whose participation in any retirement program is voluntary rather than required. Several approaches are possible: federal repayment of private loans at par value (most expensive), federal repayment at negotiated discount (intermediate), or federal infrastructure that allows borrowers to refinance private loans into federal terms before federal retirement (least expensive but slowest). The platform's approach to private student loans deserves separate analysis once the federal portfolio retirement is operational.</w:t>
      </w:r>
    </w:p>
    <w:p>
      <w:r>
        <w:br w:type="page"/>
      </w:r>
    </w:p>
    <w:p>
      <w:pPr>
        <w:pStyle w:val="Heading1"/>
        <w:spacing w:after="240" w:before="480"/>
      </w:pPr>
      <w:r>
        <w:rPr>
          <w:rFonts w:ascii="Arial" w:cs="Arial" w:eastAsia="Arial" w:hAnsi="Arial"/>
          <w:b/>
          <w:bCs/>
          <w:color w:val="1F4E78"/>
          <w:sz w:val="36"/>
          <w:szCs w:val="36"/>
        </w:rPr>
        <w:t xml:space="preserve">Honest Limitations</w:t>
      </w:r>
    </w:p>
    <w:p>
      <w:pPr>
        <w:spacing w:after="240" w:line="340"/>
        <w:jc w:val="both"/>
      </w:pPr>
      <w:r>
        <w:rPr>
          <w:rFonts w:ascii="Georgia" w:cs="Georgia" w:eastAsia="Georgia" w:hAnsi="Georgia"/>
          <w:color w:val="1A1A1A"/>
          <w:sz w:val="24"/>
          <w:szCs w:val="24"/>
        </w:rPr>
        <w:t xml:space="preserve">This analysis depends on assumptions that should be made explicit and that readers should evaluate critically rather than accept on the strength of the math alone.</w:t>
      </w:r>
    </w:p>
    <w:p>
      <w:pPr>
        <w:pStyle w:val="Heading3"/>
        <w:spacing w:after="120" w:before="240"/>
      </w:pPr>
      <w:r>
        <w:rPr>
          <w:rFonts w:ascii="Arial" w:cs="Arial" w:eastAsia="Arial" w:hAnsi="Arial"/>
          <w:b/>
          <w:bCs/>
          <w:color w:val="C00000"/>
          <w:sz w:val="22"/>
          <w:szCs w:val="22"/>
        </w:rPr>
        <w:t xml:space="preserve">The Models Assume Their Targets</w:t>
      </w:r>
    </w:p>
    <w:p>
      <w:pPr>
        <w:spacing w:after="200" w:line="320"/>
        <w:jc w:val="both"/>
      </w:pPr>
      <w:r>
        <w:rPr>
          <w:rFonts w:ascii="Georgia" w:cs="Georgia" w:eastAsia="Georgia" w:hAnsi="Georgia"/>
          <w:color w:val="1A1A1A"/>
          <w:sz w:val="22"/>
          <w:szCs w:val="22"/>
        </w:rPr>
        <w:t xml:space="preserve">The Sovereign Fund's growth trajectory comes from the Combined Reform Model, which assumes the platform's primary pillars operate as designed. If the retirement Sovereign Fund grows more slowly than projected (lower returns, lower contribution rates, demographic shifts), the disbursement capacity available for retroactive obligations would be smaller. If the fund grows faster than projected, the capacity is larger. The retirement scenarios above use the model's central projections. Sensitivity analysis at +/- 25% on fund growth would shift retirement timelines by approximately 3-5 years in either direction.</w:t>
      </w:r>
    </w:p>
    <w:p>
      <w:pPr>
        <w:spacing w:after="200" w:line="320"/>
        <w:jc w:val="both"/>
      </w:pPr>
      <w:r>
        <w:rPr>
          <w:rFonts w:ascii="Georgia" w:cs="Georgia" w:eastAsia="Georgia" w:hAnsi="Georgia"/>
          <w:color w:val="1A1A1A"/>
          <w:sz w:val="22"/>
          <w:szCs w:val="22"/>
        </w:rPr>
        <w:t>Similarly, the healthcare pillar's surplus trajectory depends on the universal healthcare Model's assumptions about administrative simplification, pharmaceutical pricing reform, and provider price negotiation. If these mechanisms produce smaller savings than projected, the surplus available for medical debt retirement is smaller.</w:t>
      </w:r>
    </w:p>
    <w:p>
      <w:pPr>
        <w:pStyle w:val="Heading3"/>
        <w:spacing w:after="120" w:before="240"/>
      </w:pPr>
      <w:r>
        <w:rPr>
          <w:rFonts w:ascii="Arial" w:cs="Arial" w:eastAsia="Arial" w:hAnsi="Arial"/>
          <w:b/>
          <w:bCs/>
          <w:color w:val="C00000"/>
          <w:sz w:val="22"/>
          <w:szCs w:val="22"/>
        </w:rPr>
        <w:t xml:space="preserve">The Political Window Required</w:t>
      </w:r>
    </w:p>
    <w:p>
      <w:pPr>
        <w:spacing w:after="200" w:line="320"/>
        <w:jc w:val="both"/>
      </w:pPr>
      <w:r>
        <w:rPr>
          <w:rFonts w:ascii="Georgia" w:cs="Georgia" w:eastAsia="Georgia" w:hAnsi="Georgia"/>
          <w:color w:val="1A1A1A"/>
          <w:sz w:val="22"/>
          <w:szCs w:val="22"/>
        </w:rPr>
        <w:t xml:space="preserve">Retroactive retirement requires sustained political commitment across multiple administrations. The platform's enactment in Year 1 requires political will. The pillar maturity required for surplus generation requires the platform to survive its first decade without significant reversal. The retroactive retirement itself requires policy decisions in Years 5+ to direct surplus capacity toward retirement rather than allowing it to accumulate or be redirected to other purposes. None of these are guaranteed. The analysis assumes a policy environment that supports the retirement program throughout its multi-decade implementation.</w:t>
      </w:r>
    </w:p>
    <w:p>
      <w:pPr>
        <w:pStyle w:val="Heading3"/>
        <w:spacing w:after="120" w:before="240"/>
      </w:pPr>
      <w:r>
        <w:rPr>
          <w:rFonts w:ascii="Arial" w:cs="Arial" w:eastAsia="Arial" w:hAnsi="Arial"/>
          <w:b/>
          <w:bCs/>
          <w:color w:val="C00000"/>
          <w:sz w:val="22"/>
          <w:szCs w:val="22"/>
        </w:rPr>
        <w:t xml:space="preserve">Operational Capacity</w:t>
      </w:r>
    </w:p>
    <w:p>
      <w:pPr>
        <w:spacing w:after="200" w:line="320"/>
        <w:jc w:val="both"/>
      </w:pPr>
      <w:r>
        <w:rPr>
          <w:rFonts w:ascii="Georgia" w:cs="Georgia" w:eastAsia="Georgia" w:hAnsi="Georgia"/>
          <w:color w:val="1A1A1A"/>
          <w:sz w:val="22"/>
          <w:szCs w:val="22"/>
        </w:rPr>
        <w:t xml:space="preserve">Retiring debt at the scales described above requires administrative infrastructure that does not currently exist. The Department of Education would need expanded capacity to process loan retirement at scale. Healthcare debt retirement would require coordination with healthcare providers, collection agencies, and credit bureaus to actually clear the debts in the systems that affect Americans' financial lives. Building this operational capacity requires lead time. The Year 5 start dates in the scenarios above assume the operational capacity is ready by then — which requires beginning the operational design work much earlier.</w:t>
      </w:r>
    </w:p>
    <w:p>
      <w:pPr>
        <w:pStyle w:val="Heading3"/>
        <w:spacing w:after="120" w:before="240"/>
      </w:pPr>
      <w:r>
        <w:rPr>
          <w:rFonts w:ascii="Arial" w:cs="Arial" w:eastAsia="Arial" w:hAnsi="Arial"/>
          <w:b/>
          <w:bCs/>
          <w:color w:val="C00000"/>
          <w:sz w:val="22"/>
          <w:szCs w:val="22"/>
        </w:rPr>
        <w:t xml:space="preserve">Equity Considerations</w:t>
      </w:r>
    </w:p>
    <w:p>
      <w:pPr>
        <w:spacing w:after="200" w:line="320"/>
        <w:jc w:val="both"/>
      </w:pPr>
      <w:r>
        <w:rPr>
          <w:rFonts w:ascii="Georgia" w:cs="Georgia" w:eastAsia="Georgia" w:hAnsi="Georgia"/>
          <w:color w:val="1A1A1A"/>
          <w:sz w:val="22"/>
          <w:szCs w:val="22"/>
        </w:rPr>
        <w:t xml:space="preserve">Across-the-board debt retirement is the simplest approach but raises equity questions. Some borrowers carry debt for educational programs that produced substantial economic benefits; others carry debt for programs that produced little. Some Americans avoided medical debt by foregoing necessary care; they receive no retroactive benefit, while those who incurred medical debt do. Various means-testing or program-completion tests could address these considerations but at the cost of substantial administrative complexity. The author leans toward simpler universal retirement on the grounds that means-tested programs reliably produce administrative complexity that erodes their benefits, but acknowledges the equity questions are real.</w:t>
      </w:r>
    </w:p>
    <w:p>
      <w:pPr>
        <w:pStyle w:val="Heading3"/>
        <w:spacing w:after="120" w:before="240"/>
      </w:pPr>
      <w:r>
        <w:rPr>
          <w:rFonts w:ascii="Arial" w:cs="Arial" w:eastAsia="Arial" w:hAnsi="Arial"/>
          <w:b/>
          <w:bCs/>
          <w:color w:val="C00000"/>
          <w:sz w:val="22"/>
          <w:szCs w:val="22"/>
        </w:rPr>
        <w:t xml:space="preserve">Moral Hazard Considerations</w:t>
      </w:r>
    </w:p>
    <w:p>
      <w:pPr>
        <w:spacing w:after="200" w:line="320"/>
        <w:jc w:val="both"/>
      </w:pPr>
      <w:r>
        <w:rPr>
          <w:rFonts w:ascii="Georgia" w:cs="Georgia" w:eastAsia="Georgia" w:hAnsi="Georgia"/>
          <w:color w:val="1A1A1A"/>
          <w:sz w:val="22"/>
          <w:szCs w:val="22"/>
        </w:rPr>
        <w:t xml:space="preserve">Critics of retroactive debt retirement raise the legitimate question of whether retiring existing debt encourages future borrowing on the assumption that future debt will also be retired. The platform addresses this concern structurally because the architecture replacing the previous system makes future student loans largely unnecessary (Sovereign Education Fund) and future medical debt structurally rare (universal healthcare). Retroactive retirement combined with structural prevention is different from retroactive retirement alone. The platform can argue the moral hazard concern is addressed precisely because the architecture has changed.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line="300"/>
            </w:pPr>
            <w:r>
              <w:rPr>
                <w:rFonts w:ascii="Georgia" w:cs="Georgia" w:eastAsia="Georgia" w:hAnsi="Georgia"/>
                <w:i/>
                <w:iCs/>
                <w:color w:val="1A1A1A"/>
                <w:sz w:val="22"/>
                <w:szCs w:val="22"/>
              </w:rPr>
              <w:t xml:space="preserve">Even with these limitations, the basic conclusion holds: the platform's projected surplus capacity is large enough to retire both debts in phases without requiring new contribution rates. The honest acknowledgment of limitations affects the timing and magnitude of retirement but not whether retirement is achievable.</w:t>
            </w:r>
          </w:p>
        </w:tc>
      </w:tr>
    </w:tbl>
    <w:p>
      <w:r>
        <w:br w:type="page"/>
      </w:r>
    </w:p>
    <w:p>
      <w:pPr>
        <w:pStyle w:val="Heading1"/>
        <w:spacing w:after="240" w:before="480"/>
      </w:pPr>
      <w:r>
        <w:rPr>
          <w:rFonts w:ascii="Arial" w:cs="Arial" w:eastAsia="Arial" w:hAnsi="Arial"/>
          <w:b/>
          <w:bCs/>
          <w:color w:val="1F4E78"/>
          <w:sz w:val="36"/>
          <w:szCs w:val="36"/>
        </w:rPr>
        <w:t xml:space="preserve">The Deeper Observation</w:t>
      </w:r>
    </w:p>
    <w:p>
      <w:pPr>
        <w:spacing w:after="240" w:line="340"/>
        <w:jc w:val="both"/>
      </w:pPr>
      <w:r>
        <w:rPr>
          <w:rFonts w:ascii="Georgia" w:cs="Georgia" w:eastAsia="Georgia" w:hAnsi="Georgia"/>
          <w:color w:val="1A1A1A"/>
          <w:sz w:val="24"/>
          <w:szCs w:val="24"/>
        </w:rPr>
        <w:t xml:space="preserve">This analysis reveals something architecturally important about the platform that the original documents did not articulate explicitly.</w:t>
      </w:r>
    </w:p>
    <w:p>
      <w:pPr>
        <w:spacing w:after="200" w:line="320"/>
        <w:jc w:val="both"/>
      </w:pPr>
      <w:r>
        <w:rPr>
          <w:rFonts w:ascii="Georgia" w:cs="Georgia" w:eastAsia="Georgia" w:hAnsi="Georgia"/>
          <w:color w:val="1A1A1A"/>
          <w:sz w:val="22"/>
          <w:szCs w:val="22"/>
        </w:rPr>
        <w:t xml:space="preserve">The platform was designed to address problems going forward. Each pillar has a forward-looking purpose: the Sovereign Fund funds future retirement, the Education Fund funds future education, universal healthcare addresses future medical needs. The architecture was not designed with retroactive obligation in mind.</w:t>
      </w:r>
    </w:p>
    <w:p>
      <w:pPr>
        <w:spacing w:after="200" w:line="320"/>
        <w:jc w:val="both"/>
      </w:pPr>
      <w:r>
        <w:rPr>
          <w:rFonts w:ascii="Georgia" w:cs="Georgia" w:eastAsia="Georgia" w:hAnsi="Georgia"/>
          <w:color w:val="1A1A1A"/>
          <w:sz w:val="22"/>
          <w:szCs w:val="22"/>
        </w:rPr>
        <w:t xml:space="preserve">And yet the architecture produces sufficient surplus capacity, during its mature operation, to address retroactive obligations without compromising its forward-looking commitments. The Sovereign Fund's growth past Year 15 produces disbursement capacity well beyond what current education funding requires. The healthcare pillar's surplus exceeds the entire stock of medical debt within the pillar's first few years. The architecture's compounding effects produce capacity that can be applied to problems the architecture wasn't specifically designed to solve.</w:t>
      </w:r>
    </w:p>
    <w:p>
      <w:pPr>
        <w:spacing w:after="200" w:line="320"/>
        <w:jc w:val="both"/>
      </w:pPr>
      <w:r>
        <w:rPr>
          <w:rFonts w:ascii="Georgia" w:cs="Georgia" w:eastAsia="Georgia" w:hAnsi="Georgia"/>
          <w:color w:val="1A1A1A"/>
          <w:sz w:val="22"/>
          <w:szCs w:val="22"/>
        </w:rPr>
        <w:t xml:space="preserve">This is the same observation that emerged from the identity theft analysis earlier in this package: when good architecture produces benefits the designer didn't intend, the architecture is sound at a deeper level than any single domain analysis could verify. The platform's architectural choices — pooled contribution under transparent governance, empirical anchoring, structural fraud prevention — produce benefits that compound across multiple domains. Identity theft reduction. Retroactive debt retirement. Future workforce transition support. Each of these is a benefit the architecture produces beyond its primary purpose. The pattern suggests the architecture is doing something more right than the original design considerations could establish.</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platform's architecture has the capacity to repair some of what the previous system damaged. Universal infrastructure built for the future has surplus capacity that, redirected, can address the harms of the past.”</w:t>
            </w:r>
          </w:p>
        </w:tc>
      </w:tr>
    </w:tbl>
    <w:p>
      <w:pPr>
        <w:pStyle w:val="Heading3"/>
        <w:spacing w:after="120" w:before="240"/>
      </w:pPr>
      <w:r>
        <w:rPr>
          <w:rFonts w:ascii="Arial" w:cs="Arial" w:eastAsia="Arial" w:hAnsi="Arial"/>
          <w:b/>
          <w:bCs/>
          <w:color w:val="C00000"/>
          <w:sz w:val="22"/>
          <w:szCs w:val="22"/>
        </w:rPr>
        <w:t xml:space="preserve">A Note on What the Platform Becomes</w:t>
      </w:r>
    </w:p>
    <w:p>
      <w:pPr>
        <w:spacing w:after="200" w:line="320"/>
        <w:jc w:val="both"/>
      </w:pPr>
      <w:r>
        <w:rPr>
          <w:rFonts w:ascii="Georgia" w:cs="Georgia" w:eastAsia="Georgia" w:hAnsi="Georgia"/>
          <w:color w:val="1A1A1A"/>
          <w:sz w:val="22"/>
          <w:szCs w:val="22"/>
        </w:rPr>
        <w:t xml:space="preserve">If the retroactive debt retirement program is implemented, the platform becomes something more than forward-looking infrastructure. It becomes infrastructure that simultaneously prevents future harms, addresses current harms produced by the system it replaces, and builds capacity for unforeseen future challenges. This is a more comprehensive proposition than the original platform documents articulated. It is also a more politically powerful proposition, because retroactive relief produces immediate visible benefits during the platform's earliest years, when political support for continued implementation is most fragile.</w:t>
      </w:r>
    </w:p>
    <w:p>
      <w:pPr>
        <w:spacing w:after="200" w:line="320"/>
        <w:jc w:val="both"/>
      </w:pPr>
      <w:r>
        <w:rPr>
          <w:rFonts w:ascii="Georgia" w:cs="Georgia" w:eastAsia="Georgia" w:hAnsi="Georgia"/>
          <w:color w:val="1A1A1A"/>
          <w:sz w:val="22"/>
          <w:szCs w:val="22"/>
        </w:rPr>
        <w:t xml:space="preserve">Citizens who would not benefit from the platform's forward-looking pillars (because they're past the relevant life stages) become beneficiaries through retroactive retirement. Citizens currently constrained by debt that the platform's architecture would have prevented receive direct relief. The platform's political coalition expands beyond the population the original architecture explicitly served.</w:t>
      </w:r>
    </w:p>
    <w:p>
      <w:r>
        <w:br w:type="page"/>
      </w:r>
    </w:p>
    <w:p>
      <w:pPr>
        <w:pStyle w:val="Heading1"/>
        <w:spacing w:after="240" w:before="480"/>
      </w:pPr>
      <w:r>
        <w:rPr>
          <w:rFonts w:ascii="Arial" w:cs="Arial" w:eastAsia="Arial" w:hAnsi="Arial"/>
          <w:b/>
          <w:bCs/>
          <w:color w:val="1F4E78"/>
          <w:sz w:val="36"/>
          <w:szCs w:val="36"/>
        </w:rPr>
        <w:t xml:space="preserve">Closing</w:t>
      </w:r>
    </w:p>
    <w:p>
      <w:pPr>
        <w:spacing w:after="240" w:line="340"/>
        <w:jc w:val="both"/>
      </w:pPr>
      <w:r>
        <w:rPr>
          <w:rFonts w:ascii="Georgia" w:cs="Georgia" w:eastAsia="Georgia" w:hAnsi="Georgia"/>
          <w:color w:val="1A1A1A"/>
          <w:sz w:val="24"/>
          <w:szCs w:val="24"/>
        </w:rPr>
        <w:t xml:space="preserve">The platform's mathematics support phased retroactive retirement of both student loan debt and medical debt without requiring new revenue sources. The capacity exists in the platform's own surplus mechanisms during their mature operation.</w:t>
      </w:r>
    </w:p>
    <w:p>
      <w:pPr>
        <w:spacing w:after="200" w:line="320"/>
        <w:jc w:val="both"/>
      </w:pPr>
      <w:r>
        <w:rPr>
          <w:rFonts w:ascii="Georgia" w:cs="Georgia" w:eastAsia="Georgia" w:hAnsi="Georgia"/>
          <w:color w:val="1A1A1A"/>
          <w:sz w:val="22"/>
          <w:szCs w:val="22"/>
        </w:rPr>
        <w:t xml:space="preserve">Medical debt is small enough to be retired entirely from healthcare pillar surplus within the platform's first decade. Approximately 100 million Americans see their medical debt eliminated. The fiscal cost is modest. The human benefit is substantial.</w:t>
      </w:r>
    </w:p>
    <w:p>
      <w:pPr>
        <w:spacing w:after="200" w:line="320"/>
        <w:jc w:val="both"/>
      </w:pPr>
      <w:r>
        <w:rPr>
          <w:rFonts w:ascii="Georgia" w:cs="Georgia" w:eastAsia="Georgia" w:hAnsi="Georgia"/>
          <w:color w:val="1A1A1A"/>
          <w:sz w:val="22"/>
          <w:szCs w:val="22"/>
        </w:rPr>
        <w:t xml:space="preserve">Student loan debt is larger but still tractable. Federal student loans of $1.65 trillion can be retired across approximately 20 years using surplus disbursement capacity from the maturing Sovereign Fund. Tens of millions of Americans see their educational debt eliminated within their working lifetimes.</w:t>
      </w:r>
    </w:p>
    <w:p>
      <w:pPr>
        <w:spacing w:after="200" w:line="320"/>
        <w:jc w:val="both"/>
      </w:pPr>
      <w:r>
        <w:rPr>
          <w:rFonts w:ascii="Georgia" w:cs="Georgia" w:eastAsia="Georgia" w:hAnsi="Georgia"/>
          <w:color w:val="1A1A1A"/>
          <w:sz w:val="22"/>
          <w:szCs w:val="22"/>
        </w:rPr>
        <w:t xml:space="preserve">Both retirements are policy choices rather than mathematical possibilities. The capacity exists; the question is whether the political coalition supports its application to retroactive obligation. The author's recommendation is yes — the platform's architectural soundness is demonstrated by its capacity to repair damage from the previous system, not just to prevent damage going forward. Universal infrastructure built for the future deserves to address the harms accumulated under the system it replaces.</w:t>
      </w:r>
    </w:p>
    <w:p>
      <w:pPr>
        <w:spacing w:after="200" w:line="320"/>
        <w:jc w:val="both"/>
      </w:pPr>
      <w:r>
        <w:rPr>
          <w:rFonts w:ascii="Georgia" w:cs="Georgia" w:eastAsia="Georgia" w:hAnsi="Georgia"/>
          <w:color w:val="1A1A1A"/>
          <w:sz w:val="22"/>
          <w:szCs w:val="22"/>
        </w:rPr>
        <w:t xml:space="preserve">This document is offered as concept-level analysis. The detailed implementation design — administrative infrastructure, equity provisions, coordination with private debt holders, integration with credit bureaus and collection agencies — remains to be developed. What this document establishes is that the basic capacity exists. The remaining work is the operational and political work of converting that capacity into actual relief for the Americans who need it.</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platform repairs the past as it builds the future. The same architecture that prevents future harms has the capacity to address harms already accumulated. The choice is whether to use it.”</w:t>
            </w:r>
          </w:p>
        </w:tc>
      </w:tr>
    </w:tbl>
    <w:p>
      <w:pPr>
        <w:spacing w:after="400"/>
      </w:pPr>
      <w:r>
        <w:t xml:space="preserve"/>
      </w:r>
    </w:p>
    <w:p>
      <w:pPr>
        <w:spacing w:after="10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i/>
          <w:iCs/>
          <w:color w:val="595959"/>
          <w:sz w:val="22"/>
          <w:szCs w:val="22"/>
        </w:rPr>
        <w:t xml:space="preserve">Ohio, May 3, 2026</w:t>
      </w:r>
    </w:p>
    <w:p>
      <w:r>
        <w:t>Sources Baseline. Numerical figures referenced in this document derive from the canonical sources cataloged in 05_Sources_And_Derivation_Convention.docx, including IRS Statistics of Income, CMS National Health Expenditure data, Census Bureau and BLS denominators, and the Combined Reform Model.</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Repairing the Past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3,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Repairing the Past — Retroactive Debt Retirement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Repairing the Past — Retroactive Debt Retirement</dc:title>
  <dc:creator>Jason Robertson</dc:creator>
  <cp:lastModifiedBy>Un-named</cp:lastModifiedBy>
  <cp:revision>1</cp:revision>
  <dcterms:created xsi:type="dcterms:W3CDTF">2026-05-03T20:35:23.421Z</dcterms:created>
  <dcterms:modified xsi:type="dcterms:W3CDTF">2026-05-03T20:35:23.422Z</dcterms:modified>
</cp:coreProperties>
</file>

<file path=docProps/custom.xml><?xml version="1.0" encoding="utf-8"?>
<Properties xmlns="http://schemas.openxmlformats.org/officeDocument/2006/custom-properties" xmlns:vt="http://schemas.openxmlformats.org/officeDocument/2006/docPropsVTypes"/>
</file>